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A0" w:rsidRDefault="00877AAD">
      <w:pPr>
        <w:spacing w:line="276" w:lineRule="auto"/>
        <w:rPr>
          <w:rFonts w:ascii="Arial" w:hAnsi="Arial" w:cs="Arial"/>
          <w:b/>
          <w:color w:val="36363D"/>
          <w:u w:val="single"/>
          <w:lang w:val="es-MX"/>
        </w:rPr>
      </w:pPr>
      <w:bookmarkStart w:id="0" w:name="_GoBack"/>
      <w:bookmarkEnd w:id="0"/>
      <w:r>
        <w:rPr>
          <w:rFonts w:ascii="Arial" w:hAnsi="Arial" w:cs="Arial"/>
          <w:b/>
          <w:color w:val="36363D"/>
          <w:u w:val="single"/>
          <w:lang w:val="en-US"/>
        </w:rPr>
        <w:t>ACTA</w:t>
      </w:r>
    </w:p>
    <w:p w:rsidR="005073A0" w:rsidRDefault="00877AAD">
      <w:pPr>
        <w:spacing w:line="276" w:lineRule="auto"/>
        <w:jc w:val="both"/>
        <w:rPr>
          <w:rFonts w:ascii="Arial" w:hAnsi="Arial" w:cs="Arial"/>
          <w:b/>
          <w:u w:val="single"/>
          <w:lang w:val="es-MX"/>
        </w:rPr>
      </w:pPr>
      <w:r>
        <w:rPr>
          <w:rFonts w:ascii="Arial" w:hAnsi="Arial" w:cs="Arial"/>
          <w:b/>
          <w:u w:val="single"/>
          <w:lang w:val="es-MX"/>
        </w:rPr>
        <w:t xml:space="preserve">I REUNIÓN CONJUNTA DE MINISTROS DE AGRICULTURA Y PESCA DEL ALBA-TCP  </w:t>
      </w:r>
    </w:p>
    <w:p w:rsidR="005073A0" w:rsidRDefault="00877AAD">
      <w:pPr>
        <w:spacing w:line="276" w:lineRule="auto"/>
        <w:rPr>
          <w:rFonts w:ascii="Arial" w:hAnsi="Arial" w:cs="Arial"/>
          <w:i/>
          <w:iCs/>
          <w:sz w:val="20"/>
          <w:szCs w:val="20"/>
          <w:lang w:val="es-MX"/>
        </w:rPr>
      </w:pPr>
      <w:r>
        <w:rPr>
          <w:rFonts w:ascii="Arial" w:hAnsi="Arial" w:cs="Arial"/>
          <w:i/>
          <w:iCs/>
          <w:sz w:val="20"/>
          <w:szCs w:val="20"/>
          <w:lang w:val="es-MX"/>
        </w:rPr>
        <w:t>Caracas, Venezuela</w:t>
      </w:r>
    </w:p>
    <w:p w:rsidR="005073A0" w:rsidRDefault="00877AAD">
      <w:pPr>
        <w:spacing w:line="276" w:lineRule="auto"/>
        <w:ind w:right="-50"/>
        <w:rPr>
          <w:rFonts w:ascii="Arial" w:hAnsi="Arial" w:cs="Arial"/>
          <w:i/>
          <w:iCs/>
          <w:sz w:val="20"/>
          <w:szCs w:val="20"/>
          <w:lang w:val="es-MX"/>
        </w:rPr>
      </w:pPr>
      <w:r>
        <w:rPr>
          <w:rFonts w:ascii="Arial" w:hAnsi="Arial" w:cs="Arial"/>
          <w:i/>
          <w:iCs/>
          <w:sz w:val="20"/>
          <w:szCs w:val="20"/>
          <w:lang w:val="es-MX"/>
        </w:rPr>
        <w:t>Viernes, 6 de junio de 2025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 compromiso de continuar avanzando mancomunadamente en el horizonte económico de la Agenda Estratégica 2030 del ALBA, los</w:t>
      </w:r>
      <w:r>
        <w:rPr>
          <w:rFonts w:ascii="Arial" w:hAnsi="Arial" w:cs="Arial"/>
        </w:rPr>
        <w:t xml:space="preserve"> Ministros y Altas Autoridades de Agricultura y Pesca del ALBA-TCP, reunidos con el objetivo de promover iniciativas productivas en la Zona Económica de Desarrollo Compartido del ALBA, así como proponer estrategias para compartir los recursos materiales, a</w:t>
      </w:r>
      <w:r>
        <w:rPr>
          <w:rFonts w:ascii="Arial" w:hAnsi="Arial" w:cs="Arial"/>
        </w:rPr>
        <w:t>puntando a generar a través de acciones conjuntas la mayor suma de felicidad para nuestros pueblos.</w:t>
      </w:r>
    </w:p>
    <w:p w:rsidR="005073A0" w:rsidRDefault="005073A0">
      <w:pPr>
        <w:jc w:val="both"/>
        <w:rPr>
          <w:rFonts w:ascii="Arial" w:hAnsi="Arial" w:cs="Arial"/>
        </w:rPr>
      </w:pPr>
    </w:p>
    <w:p w:rsidR="005073A0" w:rsidRDefault="00877A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Convencidos de que, como parte de los procesos naturales de cooperación y entendimiento entre nuestros pueblos, el intercambio comercial, de manera justa y</w:t>
      </w:r>
      <w:r>
        <w:rPr>
          <w:rFonts w:ascii="Arial" w:hAnsi="Arial" w:cs="Arial"/>
        </w:rPr>
        <w:t xml:space="preserve"> equitativa, se erige como un pilar para la integración regional y global. Mismo que, potenciado por una conectividad marítima ampliada y eficiente, facilitará el flujo de bienes y servicios, estimulando el crecimiento económico, incrementando significativ</w:t>
      </w:r>
      <w:r>
        <w:rPr>
          <w:rFonts w:ascii="Arial" w:hAnsi="Arial" w:cs="Arial"/>
        </w:rPr>
        <w:t>amente el alcance geográfico del comercio y generando mayores oportunidades de empleo. En consecuencia, el intercambio comercial, respaldado por una infraestructura marítima robusta, se convierte en un motor para la reducción de la pobreza, la promoción de</w:t>
      </w:r>
      <w:r>
        <w:rPr>
          <w:rFonts w:ascii="Arial" w:hAnsi="Arial" w:cs="Arial"/>
        </w:rPr>
        <w:t xml:space="preserve"> la equidad y el fortalecimiento del tejido social.</w:t>
      </w:r>
    </w:p>
    <w:p w:rsidR="005073A0" w:rsidRDefault="005073A0">
      <w:pPr>
        <w:tabs>
          <w:tab w:val="left" w:pos="708"/>
        </w:tabs>
        <w:jc w:val="both"/>
        <w:rPr>
          <w:rFonts w:ascii="Arial" w:hAnsi="Arial" w:cs="Arial"/>
        </w:rPr>
      </w:pPr>
    </w:p>
    <w:p w:rsidR="005073A0" w:rsidRDefault="00877AAD">
      <w:pPr>
        <w:tabs>
          <w:tab w:val="left" w:pos="708"/>
        </w:tabs>
        <w:jc w:val="both"/>
        <w:rPr>
          <w:rStyle w:val="Ninguno"/>
          <w:rFonts w:ascii="Arial" w:hAnsi="Arial" w:cs="Arial"/>
          <w:lang w:val="es-VE"/>
        </w:rPr>
      </w:pPr>
      <w:r>
        <w:rPr>
          <w:rFonts w:ascii="Arial" w:hAnsi="Arial" w:cs="Arial"/>
        </w:rPr>
        <w:t>Decididos a generar acciones que además apunten a la concertación de lo dispuesto por nuestros Jefes de Estado en el marco de la XII Cumbre Extraordinaria y Especial de los Pueblos y Gobiernos de los paí</w:t>
      </w:r>
      <w:r>
        <w:rPr>
          <w:rFonts w:ascii="Arial" w:hAnsi="Arial" w:cs="Arial"/>
        </w:rPr>
        <w:t xml:space="preserve">ses del ALBA-TCP, celebrada de forma virtual en fecha 3 de febrero del año 2025, en la que se acordó avanzar en el lanzamiento del proyecto ALBA Azul </w:t>
      </w:r>
      <w:r>
        <w:rPr>
          <w:rStyle w:val="Ninguno"/>
          <w:rFonts w:ascii="Arial" w:hAnsi="Arial" w:cs="Arial"/>
          <w:lang w:val="es-VE"/>
        </w:rPr>
        <w:t>y fortalecer AGROALBA como instrumento de cooperación e integración regional, los ministros y altas autori</w:t>
      </w:r>
      <w:r>
        <w:rPr>
          <w:rStyle w:val="Ninguno"/>
          <w:rFonts w:ascii="Arial" w:hAnsi="Arial" w:cs="Arial"/>
          <w:lang w:val="es-VE"/>
        </w:rPr>
        <w:t>dades abordaron la siguiente agenda de trabajo: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Expansión del proyecto AGROALBA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 xml:space="preserve">Desarrollo de técnicas de agricultura regenerativa agroecológica. 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Intercambio de experiencias e investigaciones para determinar protocolos de Agricultura y Ganadería Regenera</w:t>
      </w:r>
      <w:r>
        <w:rPr>
          <w:rStyle w:val="Ninguno"/>
          <w:rFonts w:ascii="Arial" w:hAnsi="Arial" w:cs="Arial"/>
          <w:lang w:val="es-VE"/>
        </w:rPr>
        <w:t>tiva.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Homologación de los certificados sanitarios para la exportación de productos agrícolas y pecuario.</w:t>
      </w:r>
    </w:p>
    <w:p w:rsidR="005073A0" w:rsidRDefault="00877AAD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Proyecto ALBA AZUL: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Conformación de flota pesquera del ALBA-TCP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Homologación de los certificados sanitarios de exportación de productos pesqueros y acu</w:t>
      </w:r>
      <w:r>
        <w:rPr>
          <w:rStyle w:val="Ninguno"/>
          <w:rFonts w:ascii="Arial" w:hAnsi="Arial" w:cs="Arial"/>
          <w:lang w:val="es-VE"/>
        </w:rPr>
        <w:t>ícolas.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Realización del primer Encuentro de investigadores y científicos en materia pesquera y acuícola del ALBA-TCP.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lastRenderedPageBreak/>
        <w:t>Creación de una Red de Centros e Institutos de investigación en pesca y acuicultura del ALBA-TCP.</w:t>
      </w:r>
    </w:p>
    <w:p w:rsidR="005073A0" w:rsidRDefault="00877AAD">
      <w:pPr>
        <w:pStyle w:val="Encabezad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 xml:space="preserve">Utilización de capacidades técnicas y </w:t>
      </w:r>
      <w:r>
        <w:rPr>
          <w:rStyle w:val="Ninguno"/>
          <w:rFonts w:ascii="Arial" w:hAnsi="Arial" w:cs="Arial"/>
          <w:lang w:val="es-VE"/>
        </w:rPr>
        <w:t>productivas existentes del Complejo Piscícola Ezequiel Zamora.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b/>
          <w:lang w:val="es-VE"/>
        </w:rPr>
      </w:pPr>
      <w:r>
        <w:rPr>
          <w:rStyle w:val="Ninguno"/>
          <w:rFonts w:ascii="Arial" w:hAnsi="Arial" w:cs="Arial"/>
          <w:b/>
          <w:lang w:val="es-VE"/>
        </w:rPr>
        <w:t>En ese sentido, acuerdan: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C</w:t>
      </w:r>
      <w:r>
        <w:rPr>
          <w:rStyle w:val="Ninguno"/>
          <w:rFonts w:ascii="Arial" w:hAnsi="Arial" w:cs="Arial"/>
          <w:lang w:val="es-VE"/>
        </w:rPr>
        <w:t>onsolidar AGROALBA como un mecanismo estratégico de cooperación e integración del ALBA-TCP, orientado a fortalecer la producción agrícola, pecuaria y agroindustrial en los países miembros, mediante el desarrollo de alianzas estratégicas que faciliten el ac</w:t>
      </w:r>
      <w:r>
        <w:rPr>
          <w:rStyle w:val="Ninguno"/>
          <w:rFonts w:ascii="Arial" w:hAnsi="Arial" w:cs="Arial"/>
          <w:lang w:val="es-VE"/>
        </w:rPr>
        <w:t>ceso a tierras productivas, en función de las capacidades y necesidades de cada nación.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Brindar acompañamiento técnico y logístico, que garantice la efectiva producción de rubros priorizados para la soberanía alimentaria de nuestros pueblos, impulsando un</w:t>
      </w:r>
      <w:r>
        <w:rPr>
          <w:rStyle w:val="Ninguno"/>
          <w:rFonts w:ascii="Arial" w:hAnsi="Arial" w:cs="Arial"/>
          <w:lang w:val="es-VE"/>
        </w:rPr>
        <w:t xml:space="preserve"> modelo de desarrollo sostenible, solidario y complementario.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Formalizar la creación de un fondo de inversión regional para el desarrollo agroalimentario, con prioridad en proyectos de producción sostenible y transformación agroindustrial.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Trabajar en la</w:t>
      </w:r>
      <w:r>
        <w:rPr>
          <w:rStyle w:val="Ninguno"/>
          <w:rFonts w:ascii="Arial" w:hAnsi="Arial" w:cs="Arial"/>
          <w:lang w:val="es-VE"/>
        </w:rPr>
        <w:t xml:space="preserve"> implementación de un sistema unificado de certificación fitosanitaria y zoosanitaria para facilitar el comercio agrícola y pecuario dentro del ALBA-TCP.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ab/>
      </w:r>
      <w:r>
        <w:rPr>
          <w:rFonts w:ascii="Arial" w:hAnsi="Arial" w:cs="Arial"/>
        </w:rPr>
        <w:t>Avanzar en la homologación regional de los certificados fitosanitarios y zoosanitarios para producto</w:t>
      </w:r>
      <w:r>
        <w:rPr>
          <w:rFonts w:ascii="Arial" w:hAnsi="Arial" w:cs="Arial"/>
        </w:rPr>
        <w:t>s agrícolas, pecuarios, pesqueros y acuícolas, como parte de un sistema de certificación unificado que facilite el comercio dentro del ALBA-TCP. Se sugiere la creación de un comité técnico regional encargado de diseñar e implementar este sistema, con un pl</w:t>
      </w:r>
      <w:r>
        <w:rPr>
          <w:rFonts w:ascii="Arial" w:hAnsi="Arial" w:cs="Arial"/>
        </w:rPr>
        <w:t>azo de 12 meses para la adopción de normativas comunes y la integración de los mecanismos de control sanitario</w:t>
      </w:r>
      <w:r>
        <w:rPr>
          <w:rStyle w:val="Ninguno"/>
          <w:rFonts w:ascii="Arial" w:hAnsi="Arial" w:cs="Arial"/>
          <w:lang w:val="es-VE"/>
        </w:rPr>
        <w:t xml:space="preserve">.  </w:t>
      </w:r>
    </w:p>
    <w:p w:rsidR="005073A0" w:rsidRDefault="005073A0">
      <w:pPr>
        <w:ind w:left="360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Adoptar un plan regional para la promoción de la agricultura regenerativa y agroecológica, garantizando la producción sostenible y el uso efi</w:t>
      </w:r>
      <w:r>
        <w:rPr>
          <w:rStyle w:val="Ninguno"/>
          <w:rFonts w:ascii="Arial" w:hAnsi="Arial" w:cs="Arial"/>
          <w:lang w:val="es-VE"/>
        </w:rPr>
        <w:t>ciente de los recursos naturales.</w:t>
      </w:r>
    </w:p>
    <w:p w:rsidR="005073A0" w:rsidRDefault="005073A0">
      <w:pPr>
        <w:ind w:left="360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t>Crear un programa de transferencia de conocimientos y tecnologías agroecológicas entre los países miembros, priorizando la capacitación de productores y técnicos en prácticas regenerativas.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Style w:val="Ninguno"/>
          <w:rFonts w:ascii="Arial" w:hAnsi="Arial" w:cs="Arial"/>
          <w:lang w:val="es-VE"/>
        </w:rPr>
        <w:lastRenderedPageBreak/>
        <w:t xml:space="preserve">Trabajar en </w:t>
      </w:r>
      <w:r>
        <w:rPr>
          <w:rStyle w:val="Ninguno"/>
          <w:rFonts w:ascii="Arial" w:hAnsi="Arial" w:cs="Arial"/>
          <w:lang w:val="es-VE"/>
        </w:rPr>
        <w:tab/>
        <w:t>la elaboración de</w:t>
      </w:r>
      <w:r>
        <w:rPr>
          <w:rStyle w:val="Ninguno"/>
          <w:rFonts w:ascii="Arial" w:hAnsi="Arial" w:cs="Arial"/>
          <w:lang w:val="es-VE"/>
        </w:rPr>
        <w:t xml:space="preserve"> un protocolo común de agroecología adaptado a las condiciones productivas de cada país.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ind w:left="720"/>
        <w:jc w:val="both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Fonts w:ascii="Arial" w:hAnsi="Arial" w:cs="Arial"/>
        </w:rPr>
        <w:t xml:space="preserve">Conformar una flota pesquera conjunta, como mecanismos para dinamizar y robustecer las relaciones económicas, solidarias y complementarias entre los Estados miembros </w:t>
      </w:r>
      <w:r>
        <w:rPr>
          <w:rFonts w:ascii="Arial" w:hAnsi="Arial" w:cs="Arial"/>
        </w:rPr>
        <w:t>de la Alianza</w:t>
      </w:r>
      <w:r>
        <w:rPr>
          <w:rStyle w:val="Ninguno"/>
          <w:rFonts w:ascii="Arial" w:hAnsi="Arial" w:cs="Arial"/>
          <w:lang w:val="es-VE"/>
        </w:rPr>
        <w:t xml:space="preserve">.  </w:t>
      </w:r>
    </w:p>
    <w:p w:rsidR="005073A0" w:rsidRDefault="005073A0">
      <w:pPr>
        <w:ind w:left="360"/>
        <w:rPr>
          <w:rStyle w:val="Ninguno"/>
          <w:rFonts w:ascii="Arial" w:hAnsi="Arial" w:cs="Arial"/>
          <w:lang w:val="es-VE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Style w:val="Ninguno"/>
          <w:rFonts w:ascii="Arial" w:hAnsi="Arial" w:cs="Arial"/>
          <w:lang w:val="es-VE"/>
        </w:rPr>
      </w:pPr>
      <w:r>
        <w:rPr>
          <w:rFonts w:ascii="Arial" w:hAnsi="Arial" w:cs="Arial"/>
        </w:rPr>
        <w:t>Crear una red de centros de investigación del sector pesca, acuicultura y ciencias vinculadas propia del ALBA-TCP</w:t>
      </w:r>
      <w:r>
        <w:rPr>
          <w:rStyle w:val="Ninguno"/>
          <w:rFonts w:ascii="Arial" w:hAnsi="Arial" w:cs="Arial"/>
          <w:lang w:val="es-VE"/>
        </w:rPr>
        <w:t xml:space="preserve">, con el propósito de fortalecer la investigación científica y la innovación en el sector.  </w:t>
      </w:r>
    </w:p>
    <w:p w:rsidR="005073A0" w:rsidRDefault="005073A0">
      <w:pPr>
        <w:ind w:left="360"/>
        <w:rPr>
          <w:rFonts w:ascii="Arial" w:hAnsi="Arial" w:cs="Arial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Conformar el Bloque ALBA-TCP </w:t>
      </w:r>
      <w:r>
        <w:rPr>
          <w:rFonts w:ascii="Arial" w:hAnsi="Arial" w:cs="Arial"/>
        </w:rPr>
        <w:t>para la participación en cualquier mecanismo de integración de pesca y acuicultura de la región, así como en los diversos foros intergubernamentales vinculados al sector, como por ejemplo COFI de pesca, COFI de Acuicultura y subcomités como el de ordenació</w:t>
      </w:r>
      <w:r>
        <w:rPr>
          <w:rFonts w:ascii="Arial" w:hAnsi="Arial" w:cs="Arial"/>
        </w:rPr>
        <w:t>n pesquera.</w:t>
      </w:r>
    </w:p>
    <w:p w:rsidR="005073A0" w:rsidRDefault="005073A0">
      <w:pPr>
        <w:ind w:left="360"/>
        <w:rPr>
          <w:rFonts w:ascii="Arial" w:hAnsi="Arial" w:cs="Arial"/>
        </w:rPr>
      </w:pPr>
    </w:p>
    <w:p w:rsidR="005073A0" w:rsidRDefault="00877AAD">
      <w:pPr>
        <w:pStyle w:val="Encabezado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Diseñar un marco común para el aprovechamiento de los recursos pesqueros compartidos entre los mismos miembros del ALBA-TCP.</w:t>
      </w:r>
    </w:p>
    <w:p w:rsidR="005073A0" w:rsidRDefault="005073A0">
      <w:pPr>
        <w:pStyle w:val="Prrafodelista"/>
        <w:rPr>
          <w:rFonts w:ascii="Arial" w:hAnsi="Arial" w:cs="Arial"/>
        </w:rPr>
      </w:pPr>
    </w:p>
    <w:p w:rsidR="005073A0" w:rsidRDefault="00877AAD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 grupo Ad Hoc, o Grupo de Trabajo de Pesca y Acuicultura del ALBA-TCP.</w:t>
      </w:r>
    </w:p>
    <w:p w:rsidR="005073A0" w:rsidRDefault="005073A0">
      <w:pPr>
        <w:pStyle w:val="Prrafodelista"/>
        <w:rPr>
          <w:rFonts w:ascii="Arial" w:hAnsi="Arial" w:cs="Arial"/>
          <w:sz w:val="24"/>
          <w:szCs w:val="24"/>
        </w:rPr>
      </w:pPr>
    </w:p>
    <w:p w:rsidR="005073A0" w:rsidRDefault="00877AAD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Incluir en el Consejo Social del ALB</w:t>
      </w:r>
      <w:r>
        <w:rPr>
          <w:rFonts w:ascii="Arial" w:hAnsi="Arial" w:cs="Arial"/>
          <w:sz w:val="24"/>
          <w:szCs w:val="24"/>
        </w:rPr>
        <w:t>A-TCP, al sector pesquero y acuícola, además de incorporarlo en el Consejo de Movimientos Sociales del ALBA-TCP.</w:t>
      </w:r>
    </w:p>
    <w:p w:rsidR="005073A0" w:rsidRDefault="005073A0">
      <w:pPr>
        <w:pStyle w:val="Prrafodelista"/>
        <w:rPr>
          <w:rFonts w:ascii="Arial" w:hAnsi="Arial" w:cs="Arial"/>
          <w:sz w:val="24"/>
          <w:szCs w:val="24"/>
        </w:rPr>
      </w:pPr>
    </w:p>
    <w:p w:rsidR="005073A0" w:rsidRDefault="005073A0">
      <w:pPr>
        <w:spacing w:after="160" w:line="259" w:lineRule="auto"/>
        <w:jc w:val="both"/>
        <w:rPr>
          <w:rFonts w:ascii="Arial" w:hAnsi="Arial" w:cs="Arial"/>
        </w:rPr>
      </w:pPr>
    </w:p>
    <w:p w:rsidR="005073A0" w:rsidRDefault="00877AAD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Caracas, 6 de junio de 2025</w:t>
      </w:r>
    </w:p>
    <w:p w:rsidR="005073A0" w:rsidRDefault="005073A0">
      <w:pPr>
        <w:pStyle w:val="Encabezado"/>
        <w:tabs>
          <w:tab w:val="left" w:pos="708"/>
        </w:tabs>
        <w:spacing w:line="276" w:lineRule="auto"/>
        <w:ind w:left="360"/>
        <w:jc w:val="both"/>
        <w:rPr>
          <w:rFonts w:ascii="Arial" w:hAnsi="Arial" w:cs="Arial"/>
        </w:rPr>
      </w:pPr>
    </w:p>
    <w:p w:rsidR="005073A0" w:rsidRDefault="005073A0">
      <w:pPr>
        <w:pStyle w:val="Encabezado"/>
        <w:tabs>
          <w:tab w:val="left" w:pos="708"/>
        </w:tabs>
        <w:spacing w:line="276" w:lineRule="auto"/>
        <w:ind w:left="360"/>
        <w:jc w:val="both"/>
        <w:rPr>
          <w:rFonts w:ascii="Arial" w:hAnsi="Arial" w:cs="Arial"/>
        </w:rPr>
      </w:pPr>
    </w:p>
    <w:p w:rsidR="005073A0" w:rsidRDefault="005073A0">
      <w:pPr>
        <w:pStyle w:val="Encabezado"/>
        <w:tabs>
          <w:tab w:val="left" w:pos="708"/>
        </w:tabs>
        <w:spacing w:line="276" w:lineRule="auto"/>
        <w:ind w:left="360"/>
        <w:jc w:val="both"/>
        <w:rPr>
          <w:rStyle w:val="Ninguno"/>
          <w:rFonts w:ascii="Arial" w:hAnsi="Arial" w:cs="Arial"/>
          <w:lang w:val="es-VE"/>
        </w:rPr>
      </w:pPr>
    </w:p>
    <w:p w:rsidR="005073A0" w:rsidRDefault="005073A0">
      <w:pPr>
        <w:ind w:left="360"/>
        <w:rPr>
          <w:rStyle w:val="Ninguno"/>
          <w:rFonts w:ascii="Arial" w:hAnsi="Arial" w:cs="Arial"/>
          <w:lang w:val="es-VE"/>
        </w:rPr>
      </w:pPr>
    </w:p>
    <w:p w:rsidR="005073A0" w:rsidRDefault="005073A0">
      <w:pPr>
        <w:pStyle w:val="Prrafodelista"/>
        <w:rPr>
          <w:rStyle w:val="Ninguno"/>
          <w:rFonts w:ascii="Arial" w:hAnsi="Arial" w:cs="Arial"/>
          <w:lang w:val="es-VE"/>
        </w:rPr>
      </w:pPr>
    </w:p>
    <w:sectPr w:rsidR="005073A0">
      <w:headerReference w:type="default" r:id="rId8"/>
      <w:pgSz w:w="12242" w:h="15842" w:code="1"/>
      <w:pgMar w:top="2127" w:right="1418" w:bottom="902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AD" w:rsidRDefault="00877AAD">
      <w:r>
        <w:separator/>
      </w:r>
    </w:p>
  </w:endnote>
  <w:endnote w:type="continuationSeparator" w:id="0">
    <w:p w:rsidR="00877AAD" w:rsidRDefault="008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AD" w:rsidRDefault="00877AAD">
      <w:r>
        <w:separator/>
      </w:r>
    </w:p>
  </w:footnote>
  <w:footnote w:type="continuationSeparator" w:id="0">
    <w:p w:rsidR="00877AAD" w:rsidRDefault="0087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A0" w:rsidRDefault="00877AAD">
    <w:pPr>
      <w:ind w:left="-1200" w:right="4474"/>
      <w:jc w:val="both"/>
      <w:rPr>
        <w:rFonts w:ascii="Palace Script MT" w:hAnsi="Palace Script MT"/>
      </w:rPr>
    </w:pPr>
    <w:r>
      <w:rPr>
        <w:noProof/>
        <w:lang w:val="en-U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-314325</wp:posOffset>
          </wp:positionV>
          <wp:extent cx="7800975" cy="10729595"/>
          <wp:effectExtent l="19050" t="0" r="9525" b="0"/>
          <wp:wrapNone/>
          <wp:docPr id="4097" name="Imagen 1" descr="Membrete_Alba T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00975" cy="1072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</w:rPr>
      <w:tab/>
      <w:t xml:space="preserve"> </w:t>
    </w:r>
    <w:r>
      <w:rPr>
        <w:rFonts w:ascii="Lucida Calligraphy" w:hAnsi="Lucida Calligraphy"/>
        <w:b/>
      </w:rPr>
      <w:tab/>
    </w:r>
  </w:p>
  <w:p w:rsidR="005073A0" w:rsidRDefault="005073A0">
    <w:pPr>
      <w:ind w:left="-1200" w:right="4474"/>
      <w:jc w:val="both"/>
      <w:rPr>
        <w:rFonts w:ascii="Palace Script MT" w:hAnsi="Palace Script M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6148A16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FB455E0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015EDDE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496AEF38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94AC0C0C"/>
    <w:lvl w:ilvl="0" w:tplc="9C3A0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0"/>
    <w:rsid w:val="00396098"/>
    <w:rsid w:val="005073A0"/>
    <w:rsid w:val="008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D89CB4-4868-4D54-AFF1-050088E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tuloCar">
    <w:name w:val="Título Car"/>
    <w:link w:val="Ttulo"/>
    <w:uiPriority w:val="10"/>
    <w:rPr>
      <w:rFonts w:ascii="Cambria" w:hAnsi="Cambria"/>
      <w:color w:val="17365D"/>
      <w:spacing w:val="5"/>
      <w:kern w:val="28"/>
      <w:sz w:val="52"/>
      <w:szCs w:val="52"/>
      <w:lang w:val="en-GB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Mencinsinresolver1">
    <w:name w:val="Mención sin resolver1"/>
    <w:uiPriority w:val="99"/>
    <w:rPr>
      <w:color w:val="605E5C"/>
      <w:shd w:val="clear" w:color="auto" w:fill="E1DFDD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Ninguno">
    <w:name w:val="Ninguno"/>
    <w:rPr>
      <w:lang w:val="es-ES_tradnl"/>
    </w:rPr>
  </w:style>
  <w:style w:type="character" w:customStyle="1" w:styleId="Ttulo1Car">
    <w:name w:val="Título 1 Car"/>
    <w:link w:val="Ttulo1"/>
    <w:uiPriority w:val="9"/>
    <w:rPr>
      <w:b/>
      <w:bCs/>
      <w:kern w:val="36"/>
      <w:sz w:val="48"/>
      <w:szCs w:val="4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3DB0-F99E-49BB-98D3-96E6C15D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MPPRE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sara.lambertini</dc:creator>
  <cp:lastModifiedBy>dell</cp:lastModifiedBy>
  <cp:revision>2</cp:revision>
  <cp:lastPrinted>2022-10-25T13:35:00Z</cp:lastPrinted>
  <dcterms:created xsi:type="dcterms:W3CDTF">2025-06-07T16:58:00Z</dcterms:created>
  <dcterms:modified xsi:type="dcterms:W3CDTF">2025-06-07T16:58:00Z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6865123ed9f042eebab83aaec2761d5b</vt:lpwstr>
  </property>
</Properties>
</file>