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F69" w:rsidRDefault="007A4368">
      <w:pPr>
        <w:spacing w:line="276" w:lineRule="auto"/>
        <w:jc w:val="both"/>
        <w:rPr>
          <w:rFonts w:ascii="Arial" w:hAnsi="Arial" w:cs="Arial"/>
          <w:b/>
          <w:color w:val="36363D"/>
          <w:u w:val="single"/>
          <w:lang w:val="en-US"/>
        </w:rPr>
      </w:pPr>
      <w:bookmarkStart w:id="0" w:name="_GoBack"/>
      <w:bookmarkEnd w:id="0"/>
      <w:r>
        <w:rPr>
          <w:rFonts w:ascii="Arial" w:hAnsi="Arial" w:cs="Arial"/>
          <w:b/>
          <w:color w:val="36363D"/>
          <w:u w:val="single"/>
          <w:lang w:val="en-US"/>
        </w:rPr>
        <w:t>MINUTES</w:t>
      </w:r>
    </w:p>
    <w:p w:rsidR="00821F69" w:rsidRDefault="007A4368">
      <w:pPr>
        <w:spacing w:line="276" w:lineRule="auto"/>
        <w:rPr>
          <w:rFonts w:ascii="Arial" w:hAnsi="Arial" w:cs="Arial"/>
          <w:b/>
          <w:u w:val="single"/>
          <w:lang w:val="en-US"/>
        </w:rPr>
      </w:pPr>
      <w:r>
        <w:rPr>
          <w:rFonts w:ascii="Arial" w:hAnsi="Arial" w:cs="Arial"/>
          <w:b/>
          <w:u w:val="single"/>
          <w:lang w:val="en-US"/>
        </w:rPr>
        <w:t>1st Joint Meeting of ALBA-TCP Ministers of Agriculture and Fisheries</w:t>
      </w:r>
      <w:r>
        <w:rPr>
          <w:rFonts w:ascii="Arial" w:hAnsi="Arial" w:cs="Arial"/>
          <w:b/>
          <w:i/>
          <w:iCs/>
          <w:sz w:val="20"/>
          <w:szCs w:val="20"/>
          <w:u w:val="single"/>
          <w:lang w:val="en-US"/>
        </w:rPr>
        <w:t xml:space="preserve"> </w:t>
      </w:r>
    </w:p>
    <w:p w:rsidR="00821F69" w:rsidRDefault="007A4368">
      <w:pPr>
        <w:spacing w:line="276" w:lineRule="auto"/>
        <w:rPr>
          <w:rFonts w:ascii="Arial" w:hAnsi="Arial" w:cs="Arial"/>
          <w:i/>
          <w:iCs/>
          <w:sz w:val="20"/>
          <w:szCs w:val="20"/>
          <w:lang w:val="en-US"/>
        </w:rPr>
      </w:pPr>
      <w:r>
        <w:rPr>
          <w:rFonts w:ascii="Arial" w:hAnsi="Arial" w:cs="Arial"/>
          <w:i/>
          <w:iCs/>
          <w:sz w:val="20"/>
          <w:szCs w:val="20"/>
          <w:lang w:val="en-US"/>
        </w:rPr>
        <w:t>Caracas, Venezuela</w:t>
      </w:r>
    </w:p>
    <w:p w:rsidR="00821F69" w:rsidRDefault="007A4368">
      <w:pPr>
        <w:spacing w:line="276" w:lineRule="auto"/>
        <w:ind w:right="-50"/>
        <w:rPr>
          <w:rFonts w:ascii="Arial" w:hAnsi="Arial" w:cs="Arial"/>
          <w:i/>
          <w:iCs/>
          <w:sz w:val="20"/>
          <w:szCs w:val="20"/>
          <w:lang w:val="en-US"/>
        </w:rPr>
      </w:pPr>
      <w:r>
        <w:rPr>
          <w:rFonts w:ascii="Arial" w:hAnsi="Arial" w:cs="Arial"/>
          <w:i/>
          <w:iCs/>
          <w:sz w:val="20"/>
          <w:szCs w:val="20"/>
          <w:lang w:val="en-US"/>
        </w:rPr>
        <w:t>Friday, June 6, 2025</w:t>
      </w:r>
    </w:p>
    <w:p w:rsidR="00821F69" w:rsidRDefault="00821F69">
      <w:pPr>
        <w:pStyle w:val="Encabezado"/>
        <w:tabs>
          <w:tab w:val="left" w:pos="708"/>
        </w:tabs>
        <w:spacing w:line="276" w:lineRule="auto"/>
        <w:jc w:val="both"/>
        <w:rPr>
          <w:rStyle w:val="Ninguno"/>
          <w:rFonts w:ascii="Arial" w:hAnsi="Arial" w:cs="Arial"/>
          <w:lang w:val="en-US"/>
        </w:rPr>
      </w:pPr>
    </w:p>
    <w:p w:rsidR="00821F69" w:rsidRDefault="007A4368">
      <w:pPr>
        <w:jc w:val="both"/>
        <w:rPr>
          <w:rFonts w:ascii="Arial" w:hAnsi="Arial" w:cs="Arial"/>
          <w:lang w:val="en-US"/>
        </w:rPr>
      </w:pPr>
      <w:r>
        <w:rPr>
          <w:rFonts w:ascii="Arial" w:hAnsi="Arial" w:cs="Arial"/>
          <w:lang w:val="en-US"/>
        </w:rPr>
        <w:t>Committed to continue advancing jointly in the economic horizon of the 2030 ALBA Strategic Agenda,</w:t>
      </w:r>
      <w:r>
        <w:rPr>
          <w:rFonts w:ascii="Arial" w:hAnsi="Arial" w:cs="Arial"/>
          <w:lang w:val="en-US"/>
        </w:rPr>
        <w:t xml:space="preserve"> the Ministers and High-Level Authorities of Agriculture and Fisheries of ALBA-TCP met to promote productive initiatives in the ALBA Shared Economic Development Zone, as well as to propose strategies for sharing material resources, aiming to generate the g</w:t>
      </w:r>
      <w:r>
        <w:rPr>
          <w:rFonts w:ascii="Arial" w:hAnsi="Arial" w:cs="Arial"/>
          <w:lang w:val="en-US"/>
        </w:rPr>
        <w:t>reatest possible happiness for our peoples through joint actions.</w:t>
      </w:r>
    </w:p>
    <w:p w:rsidR="00821F69" w:rsidRDefault="00821F69">
      <w:pPr>
        <w:jc w:val="both"/>
        <w:rPr>
          <w:rFonts w:ascii="Arial" w:hAnsi="Arial" w:cs="Arial"/>
          <w:lang w:val="en-US"/>
        </w:rPr>
      </w:pPr>
    </w:p>
    <w:p w:rsidR="00821F69" w:rsidRDefault="007A4368">
      <w:pPr>
        <w:jc w:val="both"/>
        <w:rPr>
          <w:rFonts w:ascii="Arial" w:hAnsi="Arial" w:cs="Arial"/>
          <w:lang w:val="en-US"/>
        </w:rPr>
      </w:pPr>
      <w:r>
        <w:rPr>
          <w:rFonts w:ascii="Arial" w:hAnsi="Arial" w:cs="Arial"/>
          <w:lang w:val="en-US"/>
        </w:rPr>
        <w:t>Convinced that, as part of the natural processes of cooperation and understanding among our peoples, fair and equitable trade stands as a pillar for regional and global integration. This, w</w:t>
      </w:r>
      <w:r>
        <w:rPr>
          <w:rFonts w:ascii="Arial" w:hAnsi="Arial" w:cs="Arial"/>
          <w:lang w:val="en-US"/>
        </w:rPr>
        <w:t>hen enhanced by expanded and efficient maritime connectivity, will facilitate the flow of goods and services, stimulating economic growth, significantly increasing the geographic scope of trade, and developing greater employment opportunities. Consequently</w:t>
      </w:r>
      <w:r>
        <w:rPr>
          <w:rFonts w:ascii="Arial" w:hAnsi="Arial" w:cs="Arial"/>
          <w:lang w:val="en-US"/>
        </w:rPr>
        <w:t>, commercial exchange, supported by robust maritime infrastructure, becomes a driving force for reducing poverty, promoting equity, and strengthening the social fabric.</w:t>
      </w:r>
    </w:p>
    <w:p w:rsidR="00821F69" w:rsidRDefault="00821F69">
      <w:pPr>
        <w:tabs>
          <w:tab w:val="left" w:pos="708"/>
        </w:tabs>
        <w:jc w:val="both"/>
        <w:rPr>
          <w:rFonts w:ascii="Arial" w:hAnsi="Arial" w:cs="Arial"/>
          <w:lang w:val="en-US"/>
        </w:rPr>
      </w:pPr>
    </w:p>
    <w:p w:rsidR="00821F69" w:rsidRDefault="007A4368">
      <w:pPr>
        <w:tabs>
          <w:tab w:val="left" w:pos="708"/>
        </w:tabs>
        <w:jc w:val="both"/>
        <w:rPr>
          <w:rStyle w:val="Ninguno"/>
          <w:rFonts w:ascii="Arial" w:hAnsi="Arial" w:cs="Arial"/>
          <w:lang w:val="en-US"/>
        </w:rPr>
      </w:pPr>
      <w:r>
        <w:rPr>
          <w:rStyle w:val="Ninguno"/>
          <w:rFonts w:ascii="Arial" w:hAnsi="Arial" w:cs="Arial"/>
          <w:lang w:val="en-US"/>
        </w:rPr>
        <w:t>Determined to undertake actions aimed at achieving the goals set forth by our Heads of</w:t>
      </w:r>
      <w:r>
        <w:rPr>
          <w:rStyle w:val="Ninguno"/>
          <w:rFonts w:ascii="Arial" w:hAnsi="Arial" w:cs="Arial"/>
          <w:lang w:val="en-US"/>
        </w:rPr>
        <w:t xml:space="preserve"> State within the framework of the 12th Extraordinary and Special Summit of the Peoples and Governments of the ALBA-TCP countries, held virtually on February 3, 2025, in which it was agreed to advance in the launch of the ALBA Azul project and strengthen A</w:t>
      </w:r>
      <w:r>
        <w:rPr>
          <w:rStyle w:val="Ninguno"/>
          <w:rFonts w:ascii="Arial" w:hAnsi="Arial" w:cs="Arial"/>
          <w:lang w:val="en-US"/>
        </w:rPr>
        <w:t>GROALBA as an instrument of regional cooperation and integration, the ministers and high-level authorities addressed the following work agenda:</w:t>
      </w:r>
    </w:p>
    <w:p w:rsidR="00821F69" w:rsidRDefault="00821F69">
      <w:pPr>
        <w:pStyle w:val="Encabezado"/>
        <w:tabs>
          <w:tab w:val="left" w:pos="708"/>
        </w:tabs>
        <w:spacing w:line="276" w:lineRule="auto"/>
        <w:jc w:val="both"/>
        <w:rPr>
          <w:rStyle w:val="Ninguno"/>
          <w:rFonts w:ascii="Arial" w:hAnsi="Arial" w:cs="Arial"/>
          <w:lang w:val="en-US"/>
        </w:rPr>
      </w:pPr>
    </w:p>
    <w:p w:rsidR="00821F69" w:rsidRDefault="007A4368">
      <w:pPr>
        <w:pStyle w:val="Encabezado"/>
        <w:tabs>
          <w:tab w:val="left" w:pos="708"/>
        </w:tabs>
        <w:spacing w:line="276" w:lineRule="auto"/>
        <w:ind w:left="720"/>
        <w:jc w:val="both"/>
        <w:rPr>
          <w:rStyle w:val="Ninguno"/>
          <w:rFonts w:ascii="Arial" w:hAnsi="Arial" w:cs="Arial"/>
          <w:lang w:val="en-US"/>
        </w:rPr>
      </w:pPr>
      <w:r>
        <w:rPr>
          <w:rStyle w:val="Ninguno"/>
          <w:rFonts w:ascii="Arial" w:hAnsi="Arial" w:cs="Arial"/>
          <w:lang w:val="en-US"/>
        </w:rPr>
        <w:t>Expansion of the AGROALBA Project:</w:t>
      </w:r>
    </w:p>
    <w:p w:rsidR="00821F69" w:rsidRDefault="007A4368">
      <w:pPr>
        <w:pStyle w:val="Encabezado"/>
        <w:numPr>
          <w:ilvl w:val="0"/>
          <w:numId w:val="1"/>
        </w:numPr>
        <w:tabs>
          <w:tab w:val="left" w:pos="708"/>
        </w:tabs>
        <w:spacing w:line="276" w:lineRule="auto"/>
        <w:jc w:val="both"/>
        <w:rPr>
          <w:rStyle w:val="Ninguno"/>
          <w:rFonts w:ascii="Arial" w:hAnsi="Arial" w:cs="Arial"/>
          <w:lang w:val="en-US"/>
        </w:rPr>
      </w:pPr>
      <w:r>
        <w:rPr>
          <w:rStyle w:val="Ninguno"/>
          <w:rFonts w:ascii="Arial" w:hAnsi="Arial" w:cs="Arial"/>
          <w:lang w:val="en-US"/>
        </w:rPr>
        <w:t xml:space="preserve">Development of </w:t>
      </w:r>
      <w:proofErr w:type="spellStart"/>
      <w:r>
        <w:rPr>
          <w:rStyle w:val="Ninguno"/>
          <w:rFonts w:ascii="Arial" w:hAnsi="Arial" w:cs="Arial"/>
          <w:lang w:val="en-US"/>
        </w:rPr>
        <w:t>agroecological</w:t>
      </w:r>
      <w:proofErr w:type="spellEnd"/>
      <w:r>
        <w:rPr>
          <w:rStyle w:val="Ninguno"/>
          <w:rFonts w:ascii="Arial" w:hAnsi="Arial" w:cs="Arial"/>
          <w:lang w:val="en-US"/>
        </w:rPr>
        <w:t xml:space="preserve"> regenerative agriculture techniques. </w:t>
      </w:r>
    </w:p>
    <w:p w:rsidR="00821F69" w:rsidRDefault="007A4368">
      <w:pPr>
        <w:pStyle w:val="Encabezado"/>
        <w:numPr>
          <w:ilvl w:val="0"/>
          <w:numId w:val="1"/>
        </w:numPr>
        <w:tabs>
          <w:tab w:val="left" w:pos="708"/>
        </w:tabs>
        <w:spacing w:line="276" w:lineRule="auto"/>
        <w:jc w:val="both"/>
        <w:rPr>
          <w:rStyle w:val="Ninguno"/>
          <w:rFonts w:ascii="Arial" w:hAnsi="Arial" w:cs="Arial"/>
          <w:lang w:val="en-US"/>
        </w:rPr>
      </w:pPr>
      <w:r>
        <w:rPr>
          <w:rStyle w:val="Ninguno"/>
          <w:rFonts w:ascii="Arial" w:hAnsi="Arial" w:cs="Arial"/>
          <w:lang w:val="en-US"/>
        </w:rPr>
        <w:t>Exchange</w:t>
      </w:r>
      <w:r>
        <w:rPr>
          <w:rStyle w:val="Ninguno"/>
          <w:rFonts w:ascii="Arial" w:hAnsi="Arial" w:cs="Arial"/>
          <w:lang w:val="en-US"/>
        </w:rPr>
        <w:t xml:space="preserve"> of experiences and research to determine regenerative agriculture and livestock protocols.</w:t>
      </w:r>
    </w:p>
    <w:p w:rsidR="00821F69" w:rsidRDefault="007A4368">
      <w:pPr>
        <w:pStyle w:val="Encabezado"/>
        <w:numPr>
          <w:ilvl w:val="0"/>
          <w:numId w:val="1"/>
        </w:numPr>
        <w:tabs>
          <w:tab w:val="left" w:pos="708"/>
        </w:tabs>
        <w:spacing w:line="276" w:lineRule="auto"/>
        <w:jc w:val="both"/>
        <w:rPr>
          <w:rStyle w:val="Ninguno"/>
          <w:rFonts w:ascii="Arial" w:hAnsi="Arial" w:cs="Arial"/>
          <w:lang w:val="en-US"/>
        </w:rPr>
      </w:pPr>
      <w:r>
        <w:rPr>
          <w:rStyle w:val="Ninguno"/>
          <w:rFonts w:ascii="Arial" w:hAnsi="Arial" w:cs="Arial"/>
          <w:lang w:val="en-US"/>
        </w:rPr>
        <w:t>The standardization of sanitary certificates for the export of agricultural and livestock products.</w:t>
      </w:r>
    </w:p>
    <w:p w:rsidR="00821F69" w:rsidRDefault="007A4368">
      <w:pPr>
        <w:pStyle w:val="Encabezado"/>
        <w:tabs>
          <w:tab w:val="left" w:pos="708"/>
        </w:tabs>
        <w:spacing w:line="276" w:lineRule="auto"/>
        <w:ind w:left="720"/>
        <w:jc w:val="both"/>
        <w:rPr>
          <w:rStyle w:val="Ninguno"/>
          <w:rFonts w:ascii="Arial" w:hAnsi="Arial" w:cs="Arial"/>
          <w:lang w:val="en-US"/>
        </w:rPr>
      </w:pPr>
      <w:r>
        <w:rPr>
          <w:rStyle w:val="Ninguno"/>
          <w:rFonts w:ascii="Arial" w:hAnsi="Arial" w:cs="Arial"/>
          <w:lang w:val="en-US"/>
        </w:rPr>
        <w:t>ALBA AZUL Initiative:</w:t>
      </w:r>
    </w:p>
    <w:p w:rsidR="00821F69" w:rsidRDefault="007A4368">
      <w:pPr>
        <w:pStyle w:val="Encabezado"/>
        <w:numPr>
          <w:ilvl w:val="0"/>
          <w:numId w:val="1"/>
        </w:numPr>
        <w:tabs>
          <w:tab w:val="left" w:pos="708"/>
        </w:tabs>
        <w:spacing w:line="276" w:lineRule="auto"/>
        <w:jc w:val="both"/>
        <w:rPr>
          <w:rStyle w:val="Ninguno"/>
          <w:rFonts w:ascii="Arial" w:hAnsi="Arial" w:cs="Arial"/>
          <w:lang w:val="en-US"/>
        </w:rPr>
      </w:pPr>
      <w:r>
        <w:rPr>
          <w:rStyle w:val="Ninguno"/>
          <w:rFonts w:ascii="Arial" w:hAnsi="Arial" w:cs="Arial"/>
          <w:lang w:val="en-US"/>
        </w:rPr>
        <w:t>The constitution of an ALBA-TCP fishing fl</w:t>
      </w:r>
      <w:r>
        <w:rPr>
          <w:rStyle w:val="Ninguno"/>
          <w:rFonts w:ascii="Arial" w:hAnsi="Arial" w:cs="Arial"/>
          <w:lang w:val="en-US"/>
        </w:rPr>
        <w:t xml:space="preserve">eet </w:t>
      </w:r>
    </w:p>
    <w:p w:rsidR="00821F69" w:rsidRDefault="007A4368">
      <w:pPr>
        <w:pStyle w:val="Encabezado"/>
        <w:numPr>
          <w:ilvl w:val="0"/>
          <w:numId w:val="1"/>
        </w:numPr>
        <w:tabs>
          <w:tab w:val="left" w:pos="708"/>
        </w:tabs>
        <w:spacing w:line="276" w:lineRule="auto"/>
        <w:jc w:val="both"/>
        <w:rPr>
          <w:rStyle w:val="Ninguno"/>
          <w:rFonts w:ascii="Arial" w:hAnsi="Arial" w:cs="Arial"/>
          <w:lang w:val="en-US"/>
        </w:rPr>
      </w:pPr>
      <w:r>
        <w:rPr>
          <w:rStyle w:val="Ninguno"/>
          <w:rFonts w:ascii="Arial" w:hAnsi="Arial" w:cs="Arial"/>
          <w:lang w:val="en-US"/>
        </w:rPr>
        <w:t>The standardization of sanitary certificates for the export of fishery and aquaculture products.</w:t>
      </w:r>
    </w:p>
    <w:p w:rsidR="00821F69" w:rsidRDefault="007A4368">
      <w:pPr>
        <w:pStyle w:val="Encabezado"/>
        <w:numPr>
          <w:ilvl w:val="0"/>
          <w:numId w:val="1"/>
        </w:numPr>
        <w:tabs>
          <w:tab w:val="left" w:pos="708"/>
        </w:tabs>
        <w:spacing w:line="276" w:lineRule="auto"/>
        <w:jc w:val="both"/>
        <w:rPr>
          <w:rStyle w:val="Ninguno"/>
          <w:rFonts w:ascii="Arial" w:hAnsi="Arial" w:cs="Arial"/>
          <w:lang w:val="en-US"/>
        </w:rPr>
      </w:pPr>
      <w:r>
        <w:rPr>
          <w:rStyle w:val="Ninguno"/>
          <w:rFonts w:ascii="Arial" w:hAnsi="Arial" w:cs="Arial"/>
          <w:lang w:val="en-US"/>
        </w:rPr>
        <w:t>Holding of the First Meeting of Researchers and Scientists on fisheries and aquaculture of ALBA-TCP.</w:t>
      </w:r>
    </w:p>
    <w:p w:rsidR="00821F69" w:rsidRDefault="007A4368">
      <w:pPr>
        <w:pStyle w:val="Encabezado"/>
        <w:numPr>
          <w:ilvl w:val="0"/>
          <w:numId w:val="1"/>
        </w:numPr>
        <w:tabs>
          <w:tab w:val="left" w:pos="708"/>
        </w:tabs>
        <w:spacing w:line="276" w:lineRule="auto"/>
        <w:jc w:val="both"/>
        <w:rPr>
          <w:rStyle w:val="Ninguno"/>
          <w:rFonts w:ascii="Arial" w:hAnsi="Arial" w:cs="Arial"/>
          <w:lang w:val="en-US"/>
        </w:rPr>
      </w:pPr>
      <w:r>
        <w:rPr>
          <w:rStyle w:val="Ninguno"/>
          <w:rFonts w:ascii="Arial" w:hAnsi="Arial" w:cs="Arial"/>
          <w:lang w:val="en-US"/>
        </w:rPr>
        <w:t xml:space="preserve">Creation of a Network of Research Centers and </w:t>
      </w:r>
      <w:r>
        <w:rPr>
          <w:rStyle w:val="Ninguno"/>
          <w:rFonts w:ascii="Arial" w:hAnsi="Arial" w:cs="Arial"/>
          <w:lang w:val="en-US"/>
        </w:rPr>
        <w:t>Institutes on fisheries and aquaculture of ALBA-TCP.</w:t>
      </w:r>
    </w:p>
    <w:p w:rsidR="00821F69" w:rsidRDefault="007A4368">
      <w:pPr>
        <w:pStyle w:val="Encabezado"/>
        <w:numPr>
          <w:ilvl w:val="0"/>
          <w:numId w:val="1"/>
        </w:numPr>
        <w:tabs>
          <w:tab w:val="left" w:pos="708"/>
        </w:tabs>
        <w:spacing w:line="276" w:lineRule="auto"/>
        <w:jc w:val="both"/>
        <w:rPr>
          <w:rStyle w:val="Ninguno"/>
          <w:rFonts w:ascii="Arial" w:hAnsi="Arial" w:cs="Arial"/>
          <w:lang w:val="en-US"/>
        </w:rPr>
      </w:pPr>
      <w:r>
        <w:rPr>
          <w:rStyle w:val="Ninguno"/>
          <w:rFonts w:ascii="Arial" w:hAnsi="Arial" w:cs="Arial"/>
          <w:lang w:val="en-US"/>
        </w:rPr>
        <w:t>The use of the existing technical and productive capacities of the Ezequiel Zamora Fish Farming Complex.</w:t>
      </w:r>
    </w:p>
    <w:p w:rsidR="00821F69" w:rsidRDefault="00821F69">
      <w:pPr>
        <w:pStyle w:val="Encabezado"/>
        <w:tabs>
          <w:tab w:val="left" w:pos="708"/>
        </w:tabs>
        <w:spacing w:line="276" w:lineRule="auto"/>
        <w:jc w:val="both"/>
        <w:rPr>
          <w:rStyle w:val="Ninguno"/>
          <w:rFonts w:ascii="Arial" w:hAnsi="Arial" w:cs="Arial"/>
          <w:b/>
          <w:lang w:val="en-US"/>
        </w:rPr>
      </w:pPr>
    </w:p>
    <w:p w:rsidR="00821F69" w:rsidRDefault="00821F69">
      <w:pPr>
        <w:pStyle w:val="Encabezado"/>
        <w:tabs>
          <w:tab w:val="left" w:pos="708"/>
        </w:tabs>
        <w:spacing w:line="276" w:lineRule="auto"/>
        <w:jc w:val="both"/>
        <w:rPr>
          <w:rStyle w:val="Ninguno"/>
          <w:rFonts w:ascii="Arial" w:hAnsi="Arial" w:cs="Arial"/>
          <w:b/>
          <w:lang w:val="en-US"/>
        </w:rPr>
      </w:pPr>
    </w:p>
    <w:p w:rsidR="00821F69" w:rsidRDefault="007A4368">
      <w:pPr>
        <w:pStyle w:val="Encabezado"/>
        <w:tabs>
          <w:tab w:val="left" w:pos="708"/>
        </w:tabs>
        <w:spacing w:line="276" w:lineRule="auto"/>
        <w:jc w:val="both"/>
        <w:rPr>
          <w:rStyle w:val="Ninguno"/>
          <w:rFonts w:ascii="Arial" w:hAnsi="Arial" w:cs="Arial"/>
          <w:b/>
          <w:lang w:val="en-US"/>
        </w:rPr>
      </w:pPr>
      <w:r>
        <w:rPr>
          <w:rStyle w:val="Ninguno"/>
          <w:rFonts w:ascii="Arial" w:hAnsi="Arial" w:cs="Arial"/>
          <w:b/>
          <w:lang w:val="en-US"/>
        </w:rPr>
        <w:t>In this sense, they agreed to:</w:t>
      </w:r>
    </w:p>
    <w:p w:rsidR="00821F69" w:rsidRDefault="00821F69">
      <w:pPr>
        <w:pStyle w:val="Encabezado"/>
        <w:tabs>
          <w:tab w:val="left" w:pos="708"/>
        </w:tabs>
        <w:spacing w:line="276" w:lineRule="auto"/>
        <w:jc w:val="both"/>
        <w:rPr>
          <w:rStyle w:val="Ninguno"/>
          <w:rFonts w:ascii="Arial" w:hAnsi="Arial" w:cs="Arial"/>
          <w:lang w:val="en-US"/>
        </w:rPr>
      </w:pPr>
    </w:p>
    <w:p w:rsidR="00821F69" w:rsidRDefault="007A4368">
      <w:pPr>
        <w:pStyle w:val="Encabezado"/>
        <w:numPr>
          <w:ilvl w:val="0"/>
          <w:numId w:val="4"/>
        </w:numPr>
        <w:tabs>
          <w:tab w:val="left" w:pos="708"/>
        </w:tabs>
        <w:spacing w:line="276" w:lineRule="auto"/>
        <w:jc w:val="both"/>
        <w:rPr>
          <w:rStyle w:val="Ninguno"/>
          <w:rFonts w:ascii="Arial" w:hAnsi="Arial" w:cs="Arial"/>
          <w:lang w:val="en-US"/>
        </w:rPr>
      </w:pPr>
      <w:r>
        <w:rPr>
          <w:rStyle w:val="Ninguno"/>
          <w:rFonts w:ascii="Arial" w:hAnsi="Arial" w:cs="Arial"/>
          <w:lang w:val="en-US"/>
        </w:rPr>
        <w:t>Consolidate AGROALBA as a strategic mechanism for cooperation and integration of ALBA-TCP, aimed at strengthening agricultural, livestock and agro-industrial production in member countries, by developing strategic alliances to facilitate access to producti</w:t>
      </w:r>
      <w:r>
        <w:rPr>
          <w:rStyle w:val="Ninguno"/>
          <w:rFonts w:ascii="Arial" w:hAnsi="Arial" w:cs="Arial"/>
          <w:lang w:val="en-US"/>
        </w:rPr>
        <w:t>ve land, according to the capacities and needs of each nation.</w:t>
      </w:r>
    </w:p>
    <w:p w:rsidR="00821F69" w:rsidRDefault="00821F69">
      <w:pPr>
        <w:pStyle w:val="Encabezado"/>
        <w:tabs>
          <w:tab w:val="left" w:pos="708"/>
        </w:tabs>
        <w:spacing w:line="276" w:lineRule="auto"/>
        <w:ind w:left="720"/>
        <w:jc w:val="both"/>
        <w:rPr>
          <w:rStyle w:val="Ninguno"/>
          <w:rFonts w:ascii="Arial" w:hAnsi="Arial" w:cs="Arial"/>
          <w:lang w:val="en-US"/>
        </w:rPr>
      </w:pPr>
    </w:p>
    <w:p w:rsidR="00821F69" w:rsidRDefault="007A4368">
      <w:pPr>
        <w:pStyle w:val="Encabezado"/>
        <w:numPr>
          <w:ilvl w:val="0"/>
          <w:numId w:val="4"/>
        </w:numPr>
        <w:tabs>
          <w:tab w:val="left" w:pos="708"/>
        </w:tabs>
        <w:spacing w:line="276" w:lineRule="auto"/>
        <w:jc w:val="both"/>
        <w:rPr>
          <w:rStyle w:val="Ninguno"/>
          <w:rFonts w:ascii="Arial" w:hAnsi="Arial" w:cs="Arial"/>
          <w:lang w:val="en-US"/>
        </w:rPr>
      </w:pPr>
      <w:r>
        <w:rPr>
          <w:rStyle w:val="Ninguno"/>
          <w:rFonts w:ascii="Arial" w:hAnsi="Arial" w:cs="Arial"/>
          <w:lang w:val="en-US"/>
        </w:rPr>
        <w:t>Provide technical and logistical support to guarantee the effective production of items prioritized for the food sovereignty of our peoples, promoting a sustainable, solidary and complementary</w:t>
      </w:r>
      <w:r>
        <w:rPr>
          <w:rStyle w:val="Ninguno"/>
          <w:rFonts w:ascii="Arial" w:hAnsi="Arial" w:cs="Arial"/>
          <w:lang w:val="en-US"/>
        </w:rPr>
        <w:t xml:space="preserve"> development model.</w:t>
      </w:r>
    </w:p>
    <w:p w:rsidR="00821F69" w:rsidRDefault="00821F69">
      <w:pPr>
        <w:pStyle w:val="Encabezado"/>
        <w:tabs>
          <w:tab w:val="left" w:pos="708"/>
        </w:tabs>
        <w:spacing w:line="276" w:lineRule="auto"/>
        <w:ind w:left="720"/>
        <w:jc w:val="both"/>
        <w:rPr>
          <w:rStyle w:val="Ninguno"/>
          <w:rFonts w:ascii="Arial" w:hAnsi="Arial" w:cs="Arial"/>
          <w:lang w:val="en-US"/>
        </w:rPr>
      </w:pPr>
    </w:p>
    <w:p w:rsidR="00821F69" w:rsidRDefault="007A4368">
      <w:pPr>
        <w:pStyle w:val="Encabezado"/>
        <w:numPr>
          <w:ilvl w:val="0"/>
          <w:numId w:val="4"/>
        </w:numPr>
        <w:tabs>
          <w:tab w:val="left" w:pos="708"/>
        </w:tabs>
        <w:spacing w:line="276" w:lineRule="auto"/>
        <w:jc w:val="both"/>
        <w:rPr>
          <w:rStyle w:val="Ninguno"/>
          <w:rFonts w:ascii="Arial" w:hAnsi="Arial" w:cs="Arial"/>
          <w:lang w:val="en-US"/>
        </w:rPr>
      </w:pPr>
      <w:r>
        <w:rPr>
          <w:rStyle w:val="Ninguno"/>
          <w:rFonts w:ascii="Arial" w:hAnsi="Arial" w:cs="Arial"/>
          <w:lang w:val="en-US"/>
        </w:rPr>
        <w:t xml:space="preserve">Formalize the creation of a regional investment fund for </w:t>
      </w:r>
      <w:proofErr w:type="spellStart"/>
      <w:r>
        <w:rPr>
          <w:rStyle w:val="Ninguno"/>
          <w:rFonts w:ascii="Arial" w:hAnsi="Arial" w:cs="Arial"/>
          <w:lang w:val="en-US"/>
        </w:rPr>
        <w:t>agri</w:t>
      </w:r>
      <w:proofErr w:type="spellEnd"/>
      <w:r>
        <w:rPr>
          <w:rStyle w:val="Ninguno"/>
          <w:rFonts w:ascii="Arial" w:hAnsi="Arial" w:cs="Arial"/>
          <w:lang w:val="en-US"/>
        </w:rPr>
        <w:t>-food development, prioritizing sustainable production and agro-industrial transformation projects.</w:t>
      </w:r>
    </w:p>
    <w:p w:rsidR="00821F69" w:rsidRDefault="00821F69">
      <w:pPr>
        <w:pStyle w:val="Encabezado"/>
        <w:tabs>
          <w:tab w:val="left" w:pos="708"/>
        </w:tabs>
        <w:spacing w:line="276" w:lineRule="auto"/>
        <w:jc w:val="both"/>
        <w:rPr>
          <w:rStyle w:val="Ninguno"/>
          <w:rFonts w:ascii="Arial" w:hAnsi="Arial" w:cs="Arial"/>
          <w:lang w:val="en-US"/>
        </w:rPr>
      </w:pPr>
    </w:p>
    <w:p w:rsidR="00821F69" w:rsidRDefault="007A4368">
      <w:pPr>
        <w:pStyle w:val="Encabezado"/>
        <w:numPr>
          <w:ilvl w:val="0"/>
          <w:numId w:val="4"/>
        </w:numPr>
        <w:tabs>
          <w:tab w:val="left" w:pos="708"/>
        </w:tabs>
        <w:spacing w:line="276" w:lineRule="auto"/>
        <w:jc w:val="both"/>
        <w:rPr>
          <w:rStyle w:val="Ninguno"/>
          <w:rFonts w:ascii="Arial" w:hAnsi="Arial" w:cs="Arial"/>
          <w:lang w:val="en-US"/>
        </w:rPr>
      </w:pPr>
      <w:r>
        <w:rPr>
          <w:rStyle w:val="Ninguno"/>
          <w:rFonts w:ascii="Arial" w:hAnsi="Arial" w:cs="Arial"/>
          <w:lang w:val="en-US"/>
        </w:rPr>
        <w:t xml:space="preserve">Work on the implementation of a unified </w:t>
      </w:r>
      <w:proofErr w:type="spellStart"/>
      <w:r>
        <w:rPr>
          <w:rStyle w:val="Ninguno"/>
          <w:rFonts w:ascii="Arial" w:hAnsi="Arial" w:cs="Arial"/>
          <w:lang w:val="en-US"/>
        </w:rPr>
        <w:t>phytosanitary</w:t>
      </w:r>
      <w:proofErr w:type="spellEnd"/>
      <w:r>
        <w:rPr>
          <w:rStyle w:val="Ninguno"/>
          <w:rFonts w:ascii="Arial" w:hAnsi="Arial" w:cs="Arial"/>
          <w:lang w:val="en-US"/>
        </w:rPr>
        <w:t xml:space="preserve"> and zoo-sanitary ce</w:t>
      </w:r>
      <w:r>
        <w:rPr>
          <w:rStyle w:val="Ninguno"/>
          <w:rFonts w:ascii="Arial" w:hAnsi="Arial" w:cs="Arial"/>
          <w:lang w:val="en-US"/>
        </w:rPr>
        <w:t>rtification system to facilitate agricultural and livestock trade within ALBA-TCP.</w:t>
      </w:r>
    </w:p>
    <w:p w:rsidR="00821F69" w:rsidRDefault="00821F69">
      <w:pPr>
        <w:pStyle w:val="Encabezado"/>
        <w:tabs>
          <w:tab w:val="left" w:pos="708"/>
        </w:tabs>
        <w:spacing w:line="276" w:lineRule="auto"/>
        <w:jc w:val="both"/>
        <w:rPr>
          <w:rStyle w:val="Ninguno"/>
          <w:rFonts w:ascii="Arial" w:hAnsi="Arial" w:cs="Arial"/>
          <w:lang w:val="en-US"/>
        </w:rPr>
      </w:pPr>
    </w:p>
    <w:p w:rsidR="00821F69" w:rsidRDefault="007A4368">
      <w:pPr>
        <w:pStyle w:val="Encabezado"/>
        <w:numPr>
          <w:ilvl w:val="0"/>
          <w:numId w:val="4"/>
        </w:numPr>
        <w:tabs>
          <w:tab w:val="left" w:pos="708"/>
        </w:tabs>
        <w:spacing w:line="276" w:lineRule="auto"/>
        <w:jc w:val="both"/>
        <w:rPr>
          <w:rStyle w:val="Ninguno"/>
          <w:rFonts w:ascii="Arial" w:hAnsi="Arial" w:cs="Arial"/>
          <w:lang w:val="en-US"/>
        </w:rPr>
      </w:pPr>
      <w:r>
        <w:rPr>
          <w:rStyle w:val="Ninguno"/>
          <w:rFonts w:ascii="Arial" w:hAnsi="Arial" w:cs="Arial"/>
          <w:lang w:val="en-US"/>
        </w:rPr>
        <w:tab/>
        <w:t xml:space="preserve">Move forward with the regional standardization of </w:t>
      </w:r>
      <w:proofErr w:type="spellStart"/>
      <w:r>
        <w:rPr>
          <w:rStyle w:val="Ninguno"/>
          <w:rFonts w:ascii="Arial" w:hAnsi="Arial" w:cs="Arial"/>
          <w:lang w:val="en-US"/>
        </w:rPr>
        <w:t>phytosanitary</w:t>
      </w:r>
      <w:proofErr w:type="spellEnd"/>
      <w:r>
        <w:rPr>
          <w:rStyle w:val="Ninguno"/>
          <w:rFonts w:ascii="Arial" w:hAnsi="Arial" w:cs="Arial"/>
          <w:lang w:val="en-US"/>
        </w:rPr>
        <w:t xml:space="preserve"> and zoo sanitary certificates for agricultural, livestock, fishery and aquaculture products, as part of a u</w:t>
      </w:r>
      <w:r>
        <w:rPr>
          <w:rStyle w:val="Ninguno"/>
          <w:rFonts w:ascii="Arial" w:hAnsi="Arial" w:cs="Arial"/>
          <w:lang w:val="en-US"/>
        </w:rPr>
        <w:t>nified certification system to facilitate trade within ALBA-TCP. It is suggested that a regional technical committee be created to design and implement this system, with a 12-month deadline for the adoption of common regulations and the integration of sani</w:t>
      </w:r>
      <w:r>
        <w:rPr>
          <w:rStyle w:val="Ninguno"/>
          <w:rFonts w:ascii="Arial" w:hAnsi="Arial" w:cs="Arial"/>
          <w:lang w:val="en-US"/>
        </w:rPr>
        <w:t>tary control mechanisms.</w:t>
      </w:r>
    </w:p>
    <w:p w:rsidR="00821F69" w:rsidRDefault="00821F69">
      <w:pPr>
        <w:ind w:left="360"/>
        <w:rPr>
          <w:rStyle w:val="Ninguno"/>
          <w:rFonts w:ascii="Arial" w:hAnsi="Arial" w:cs="Arial"/>
          <w:lang w:val="en-US"/>
        </w:rPr>
      </w:pPr>
    </w:p>
    <w:p w:rsidR="00821F69" w:rsidRDefault="007A4368">
      <w:pPr>
        <w:pStyle w:val="Encabezado"/>
        <w:numPr>
          <w:ilvl w:val="0"/>
          <w:numId w:val="4"/>
        </w:numPr>
        <w:tabs>
          <w:tab w:val="left" w:pos="708"/>
        </w:tabs>
        <w:spacing w:line="276" w:lineRule="auto"/>
        <w:jc w:val="both"/>
        <w:rPr>
          <w:rStyle w:val="Ninguno"/>
          <w:rFonts w:ascii="Arial" w:hAnsi="Arial" w:cs="Arial"/>
          <w:lang w:val="en-US"/>
        </w:rPr>
      </w:pPr>
      <w:r>
        <w:rPr>
          <w:rStyle w:val="Ninguno"/>
          <w:rFonts w:ascii="Arial" w:hAnsi="Arial" w:cs="Arial"/>
          <w:lang w:val="en-US"/>
        </w:rPr>
        <w:t xml:space="preserve">Adopt a regional plan to promote regenerative and </w:t>
      </w:r>
      <w:proofErr w:type="spellStart"/>
      <w:r>
        <w:rPr>
          <w:rStyle w:val="Ninguno"/>
          <w:rFonts w:ascii="Arial" w:hAnsi="Arial" w:cs="Arial"/>
          <w:lang w:val="en-US"/>
        </w:rPr>
        <w:t>agroecological</w:t>
      </w:r>
      <w:proofErr w:type="spellEnd"/>
      <w:r>
        <w:rPr>
          <w:rStyle w:val="Ninguno"/>
          <w:rFonts w:ascii="Arial" w:hAnsi="Arial" w:cs="Arial"/>
          <w:lang w:val="en-US"/>
        </w:rPr>
        <w:t xml:space="preserve"> agriculture, ensuring sustainable production and the efficient use of natural resources.</w:t>
      </w:r>
    </w:p>
    <w:p w:rsidR="00821F69" w:rsidRDefault="00821F69">
      <w:pPr>
        <w:rPr>
          <w:rStyle w:val="Ninguno"/>
          <w:rFonts w:ascii="Arial" w:hAnsi="Arial" w:cs="Arial"/>
          <w:lang w:val="en-US"/>
        </w:rPr>
      </w:pPr>
    </w:p>
    <w:p w:rsidR="00821F69" w:rsidRDefault="007A4368">
      <w:pPr>
        <w:pStyle w:val="Encabezado"/>
        <w:numPr>
          <w:ilvl w:val="0"/>
          <w:numId w:val="4"/>
        </w:numPr>
        <w:tabs>
          <w:tab w:val="left" w:pos="708"/>
        </w:tabs>
        <w:spacing w:line="276" w:lineRule="auto"/>
        <w:jc w:val="both"/>
        <w:rPr>
          <w:rStyle w:val="Ninguno"/>
          <w:rFonts w:ascii="Arial" w:hAnsi="Arial" w:cs="Arial"/>
          <w:lang w:val="en-US"/>
        </w:rPr>
      </w:pPr>
      <w:r>
        <w:rPr>
          <w:rStyle w:val="Ninguno"/>
          <w:rFonts w:ascii="Arial" w:hAnsi="Arial" w:cs="Arial"/>
          <w:lang w:val="en-US"/>
        </w:rPr>
        <w:t xml:space="preserve">Create a program for the transfer of </w:t>
      </w:r>
      <w:bookmarkStart w:id="1" w:name="_Hlk195299528"/>
      <w:r>
        <w:rPr>
          <w:rStyle w:val="Ninguno"/>
          <w:rFonts w:ascii="Arial" w:hAnsi="Arial" w:cs="Arial"/>
          <w:lang w:val="en-US"/>
        </w:rPr>
        <w:t>knowledge</w:t>
      </w:r>
      <w:bookmarkEnd w:id="1"/>
      <w:r>
        <w:rPr>
          <w:rStyle w:val="Ninguno"/>
          <w:rFonts w:ascii="Arial" w:hAnsi="Arial" w:cs="Arial"/>
          <w:lang w:val="en-US"/>
        </w:rPr>
        <w:t xml:space="preserve"> and </w:t>
      </w:r>
      <w:proofErr w:type="spellStart"/>
      <w:r>
        <w:rPr>
          <w:rStyle w:val="Ninguno"/>
          <w:rFonts w:ascii="Arial" w:hAnsi="Arial" w:cs="Arial"/>
          <w:lang w:val="en-US"/>
        </w:rPr>
        <w:t>agroecological</w:t>
      </w:r>
      <w:proofErr w:type="spellEnd"/>
      <w:r>
        <w:rPr>
          <w:rStyle w:val="Ninguno"/>
          <w:rFonts w:ascii="Arial" w:hAnsi="Arial" w:cs="Arial"/>
          <w:lang w:val="en-US"/>
        </w:rPr>
        <w:t xml:space="preserve"> technolog</w:t>
      </w:r>
      <w:r>
        <w:rPr>
          <w:rStyle w:val="Ninguno"/>
          <w:rFonts w:ascii="Arial" w:hAnsi="Arial" w:cs="Arial"/>
          <w:lang w:val="en-US"/>
        </w:rPr>
        <w:t>ies among member countries, prioritizing the training of producers and technicians in regenerative practices.</w:t>
      </w:r>
    </w:p>
    <w:p w:rsidR="00821F69" w:rsidRDefault="00821F69">
      <w:pPr>
        <w:pStyle w:val="Encabezado"/>
        <w:tabs>
          <w:tab w:val="left" w:pos="708"/>
        </w:tabs>
        <w:spacing w:line="276" w:lineRule="auto"/>
        <w:ind w:left="720"/>
        <w:jc w:val="both"/>
        <w:rPr>
          <w:rStyle w:val="Ninguno"/>
          <w:rFonts w:ascii="Arial" w:hAnsi="Arial" w:cs="Arial"/>
          <w:lang w:val="en-US"/>
        </w:rPr>
      </w:pPr>
    </w:p>
    <w:p w:rsidR="00821F69" w:rsidRDefault="007A4368">
      <w:pPr>
        <w:pStyle w:val="Encabezado"/>
        <w:numPr>
          <w:ilvl w:val="0"/>
          <w:numId w:val="4"/>
        </w:numPr>
        <w:tabs>
          <w:tab w:val="left" w:pos="708"/>
        </w:tabs>
        <w:spacing w:line="276" w:lineRule="auto"/>
        <w:jc w:val="both"/>
        <w:rPr>
          <w:rStyle w:val="Ninguno"/>
          <w:rFonts w:ascii="Arial" w:hAnsi="Arial" w:cs="Arial"/>
          <w:lang w:val="en-US"/>
        </w:rPr>
      </w:pPr>
      <w:r>
        <w:rPr>
          <w:rStyle w:val="Ninguno"/>
          <w:rFonts w:ascii="Arial" w:hAnsi="Arial" w:cs="Arial"/>
          <w:lang w:val="en-US"/>
        </w:rPr>
        <w:t xml:space="preserve">Work on developing a common </w:t>
      </w:r>
      <w:proofErr w:type="spellStart"/>
      <w:r>
        <w:rPr>
          <w:rStyle w:val="Ninguno"/>
          <w:rFonts w:ascii="Arial" w:hAnsi="Arial" w:cs="Arial"/>
          <w:lang w:val="en-US"/>
        </w:rPr>
        <w:t>agroecology</w:t>
      </w:r>
      <w:proofErr w:type="spellEnd"/>
      <w:r>
        <w:rPr>
          <w:rStyle w:val="Ninguno"/>
          <w:rFonts w:ascii="Arial" w:hAnsi="Arial" w:cs="Arial"/>
          <w:lang w:val="en-US"/>
        </w:rPr>
        <w:t xml:space="preserve"> protocol adapted to the production conditions of each country.</w:t>
      </w:r>
    </w:p>
    <w:p w:rsidR="00821F69" w:rsidRDefault="00821F69">
      <w:pPr>
        <w:pStyle w:val="Encabezado"/>
        <w:tabs>
          <w:tab w:val="left" w:pos="708"/>
        </w:tabs>
        <w:spacing w:line="276" w:lineRule="auto"/>
        <w:ind w:left="720"/>
        <w:jc w:val="both"/>
        <w:rPr>
          <w:rStyle w:val="Ninguno"/>
          <w:rFonts w:ascii="Arial" w:hAnsi="Arial" w:cs="Arial"/>
          <w:lang w:val="en-US"/>
        </w:rPr>
      </w:pPr>
    </w:p>
    <w:p w:rsidR="00821F69" w:rsidRDefault="007A4368">
      <w:pPr>
        <w:pStyle w:val="Encabezado"/>
        <w:numPr>
          <w:ilvl w:val="0"/>
          <w:numId w:val="4"/>
        </w:numPr>
        <w:tabs>
          <w:tab w:val="left" w:pos="708"/>
        </w:tabs>
        <w:spacing w:line="276" w:lineRule="auto"/>
        <w:jc w:val="both"/>
        <w:rPr>
          <w:rStyle w:val="Ninguno"/>
          <w:rFonts w:ascii="Arial" w:hAnsi="Arial" w:cs="Arial"/>
          <w:lang w:val="en-US"/>
        </w:rPr>
      </w:pPr>
      <w:r>
        <w:rPr>
          <w:rStyle w:val="Ninguno"/>
          <w:rFonts w:ascii="Arial" w:hAnsi="Arial" w:cs="Arial"/>
          <w:lang w:val="en-US"/>
        </w:rPr>
        <w:t>Establish a joint fishing fleet as a mech</w:t>
      </w:r>
      <w:r>
        <w:rPr>
          <w:rStyle w:val="Ninguno"/>
          <w:rFonts w:ascii="Arial" w:hAnsi="Arial" w:cs="Arial"/>
          <w:lang w:val="en-US"/>
        </w:rPr>
        <w:t>anism to boost and strengthen economic, supportive, and complementary relations among the Alliance's member States.</w:t>
      </w:r>
    </w:p>
    <w:p w:rsidR="00821F69" w:rsidRDefault="00821F69">
      <w:pPr>
        <w:rPr>
          <w:rStyle w:val="Ninguno"/>
          <w:rFonts w:ascii="Arial" w:hAnsi="Arial" w:cs="Arial"/>
          <w:lang w:val="en-US"/>
        </w:rPr>
      </w:pPr>
    </w:p>
    <w:p w:rsidR="00821F69" w:rsidRDefault="007A4368">
      <w:pPr>
        <w:pStyle w:val="Encabezado"/>
        <w:numPr>
          <w:ilvl w:val="0"/>
          <w:numId w:val="4"/>
        </w:numPr>
        <w:tabs>
          <w:tab w:val="left" w:pos="708"/>
        </w:tabs>
        <w:spacing w:line="276" w:lineRule="auto"/>
        <w:jc w:val="both"/>
        <w:rPr>
          <w:rStyle w:val="Ninguno"/>
          <w:rFonts w:ascii="Arial" w:hAnsi="Arial" w:cs="Arial"/>
          <w:lang w:val="en-US"/>
        </w:rPr>
      </w:pPr>
      <w:r>
        <w:rPr>
          <w:rStyle w:val="Ninguno"/>
          <w:rFonts w:ascii="Arial" w:hAnsi="Arial" w:cs="Arial"/>
          <w:lang w:val="en-US"/>
        </w:rPr>
        <w:lastRenderedPageBreak/>
        <w:t xml:space="preserve"> Create a network of research centers in the fishing, aquaculture, and related sciences sectors within ALBA-TCP, with the aim of </w:t>
      </w:r>
      <w:r>
        <w:rPr>
          <w:rStyle w:val="Ninguno"/>
          <w:rFonts w:ascii="Arial" w:hAnsi="Arial" w:cs="Arial"/>
          <w:lang w:val="en-US"/>
        </w:rPr>
        <w:t>strengthening scientific research and innovation in the sector.</w:t>
      </w:r>
    </w:p>
    <w:p w:rsidR="00821F69" w:rsidRDefault="00821F69">
      <w:pPr>
        <w:ind w:left="360"/>
        <w:rPr>
          <w:rFonts w:ascii="Arial" w:hAnsi="Arial" w:cs="Arial"/>
          <w:lang w:val="en-US"/>
        </w:rPr>
      </w:pPr>
    </w:p>
    <w:p w:rsidR="00821F69" w:rsidRDefault="007A4368">
      <w:pPr>
        <w:pStyle w:val="Encabezado"/>
        <w:numPr>
          <w:ilvl w:val="0"/>
          <w:numId w:val="4"/>
        </w:numPr>
        <w:tabs>
          <w:tab w:val="left" w:pos="708"/>
        </w:tabs>
        <w:spacing w:line="276" w:lineRule="auto"/>
        <w:jc w:val="both"/>
        <w:rPr>
          <w:rFonts w:ascii="Arial" w:hAnsi="Arial" w:cs="Arial"/>
          <w:lang w:val="en-US"/>
        </w:rPr>
      </w:pPr>
      <w:r>
        <w:rPr>
          <w:rFonts w:ascii="Arial" w:hAnsi="Arial" w:cs="Arial"/>
          <w:lang w:val="en-US"/>
        </w:rPr>
        <w:t xml:space="preserve"> Establish the ALBA-TCP Bloc for participation in any fisheries and aquaculture integration mechanism in the region, as well as in various intergovernmental forums related to the sector, such</w:t>
      </w:r>
      <w:r>
        <w:rPr>
          <w:rFonts w:ascii="Arial" w:hAnsi="Arial" w:cs="Arial"/>
          <w:lang w:val="en-US"/>
        </w:rPr>
        <w:t xml:space="preserve"> as the Fisheries COFI, Aquaculture COFI, and subcommittees such as the Fisheries Management Committee.</w:t>
      </w:r>
    </w:p>
    <w:p w:rsidR="00821F69" w:rsidRDefault="00821F69">
      <w:pPr>
        <w:ind w:left="360"/>
        <w:rPr>
          <w:rFonts w:ascii="Arial" w:hAnsi="Arial" w:cs="Arial"/>
          <w:lang w:val="en-US"/>
        </w:rPr>
      </w:pPr>
    </w:p>
    <w:p w:rsidR="00821F69" w:rsidRDefault="007A4368">
      <w:pPr>
        <w:pStyle w:val="Encabezado"/>
        <w:numPr>
          <w:ilvl w:val="0"/>
          <w:numId w:val="4"/>
        </w:numPr>
        <w:tabs>
          <w:tab w:val="left" w:pos="708"/>
        </w:tabs>
        <w:spacing w:line="276" w:lineRule="auto"/>
        <w:jc w:val="both"/>
        <w:rPr>
          <w:rFonts w:ascii="Arial" w:hAnsi="Arial" w:cs="Arial"/>
          <w:lang w:val="en-US"/>
        </w:rPr>
      </w:pPr>
      <w:r>
        <w:rPr>
          <w:rFonts w:ascii="Arial" w:hAnsi="Arial" w:cs="Arial"/>
          <w:lang w:val="en-US"/>
        </w:rPr>
        <w:t xml:space="preserve"> Design a common framework for the use of fishery resources shared among ALBA-TCP members.</w:t>
      </w:r>
    </w:p>
    <w:p w:rsidR="00821F69" w:rsidRDefault="00821F69">
      <w:pPr>
        <w:rPr>
          <w:rFonts w:ascii="Arial" w:hAnsi="Arial" w:cs="Arial"/>
          <w:lang w:val="en-US"/>
        </w:rPr>
      </w:pPr>
    </w:p>
    <w:p w:rsidR="00821F69" w:rsidRDefault="007A4368">
      <w:pPr>
        <w:pStyle w:val="Prrafodelista"/>
        <w:numPr>
          <w:ilvl w:val="0"/>
          <w:numId w:val="4"/>
        </w:numPr>
        <w:spacing w:after="160" w:line="259" w:lineRule="auto"/>
        <w:jc w:val="both"/>
        <w:rPr>
          <w:rFonts w:ascii="Arial" w:hAnsi="Arial" w:cs="Arial"/>
          <w:sz w:val="24"/>
          <w:szCs w:val="24"/>
          <w:lang w:val="en-US"/>
        </w:rPr>
      </w:pPr>
      <w:r>
        <w:rPr>
          <w:rFonts w:ascii="Arial" w:hAnsi="Arial" w:cs="Arial"/>
          <w:sz w:val="24"/>
          <w:szCs w:val="24"/>
          <w:lang w:val="en-US"/>
        </w:rPr>
        <w:t xml:space="preserve"> Create an Ad Hoc group, or a Fisheries and Aquaculture wor</w:t>
      </w:r>
      <w:r>
        <w:rPr>
          <w:rFonts w:ascii="Arial" w:hAnsi="Arial" w:cs="Arial"/>
          <w:sz w:val="24"/>
          <w:szCs w:val="24"/>
          <w:lang w:val="en-US"/>
        </w:rPr>
        <w:t xml:space="preserve">king group of the ALBA-TCP. </w:t>
      </w:r>
      <w:r>
        <w:rPr>
          <w:rFonts w:ascii="Arial" w:hAnsi="Arial" w:cs="Arial"/>
          <w:sz w:val="24"/>
          <w:szCs w:val="24"/>
          <w:lang w:val="en-US"/>
        </w:rPr>
        <w:br/>
      </w:r>
    </w:p>
    <w:p w:rsidR="00821F69" w:rsidRDefault="007A4368">
      <w:pPr>
        <w:pStyle w:val="Prrafodelista"/>
        <w:numPr>
          <w:ilvl w:val="0"/>
          <w:numId w:val="4"/>
        </w:numPr>
        <w:spacing w:after="160" w:line="259" w:lineRule="auto"/>
        <w:jc w:val="both"/>
        <w:rPr>
          <w:rFonts w:ascii="Arial" w:hAnsi="Arial" w:cs="Arial"/>
          <w:sz w:val="24"/>
          <w:szCs w:val="24"/>
          <w:lang w:val="en-US"/>
        </w:rPr>
      </w:pPr>
      <w:r>
        <w:rPr>
          <w:rFonts w:ascii="Arial" w:hAnsi="Arial" w:cs="Arial"/>
          <w:sz w:val="24"/>
          <w:szCs w:val="24"/>
          <w:lang w:val="en-US"/>
        </w:rPr>
        <w:t xml:space="preserve"> Include the fishing and aquaculture sector in the ALBA-TCP Social Council, as well as incorporate it into the ALBA-TCP Council of Social Movements.</w:t>
      </w:r>
    </w:p>
    <w:p w:rsidR="00821F69" w:rsidRDefault="00821F69">
      <w:pPr>
        <w:spacing w:after="160" w:line="259" w:lineRule="auto"/>
        <w:jc w:val="both"/>
        <w:rPr>
          <w:rFonts w:ascii="Arial" w:hAnsi="Arial" w:cs="Arial"/>
          <w:lang w:val="en-US"/>
        </w:rPr>
      </w:pPr>
    </w:p>
    <w:p w:rsidR="00821F69" w:rsidRDefault="007A4368">
      <w:pPr>
        <w:spacing w:after="160" w:line="259" w:lineRule="auto"/>
        <w:jc w:val="right"/>
        <w:rPr>
          <w:rFonts w:ascii="Arial" w:hAnsi="Arial" w:cs="Arial"/>
        </w:rPr>
      </w:pPr>
      <w:r>
        <w:rPr>
          <w:rFonts w:ascii="Arial" w:hAnsi="Arial" w:cs="Arial"/>
        </w:rPr>
        <w:t>Caracas, June 6, 2025</w:t>
      </w:r>
    </w:p>
    <w:p w:rsidR="00821F69" w:rsidRDefault="00821F69">
      <w:pPr>
        <w:pStyle w:val="Encabezado"/>
        <w:tabs>
          <w:tab w:val="left" w:pos="708"/>
        </w:tabs>
        <w:spacing w:line="276" w:lineRule="auto"/>
        <w:ind w:left="360"/>
        <w:jc w:val="both"/>
        <w:rPr>
          <w:rFonts w:ascii="Arial" w:hAnsi="Arial" w:cs="Arial"/>
        </w:rPr>
      </w:pPr>
    </w:p>
    <w:p w:rsidR="00821F69" w:rsidRDefault="00821F69">
      <w:pPr>
        <w:pStyle w:val="Encabezado"/>
        <w:tabs>
          <w:tab w:val="left" w:pos="708"/>
        </w:tabs>
        <w:spacing w:line="276" w:lineRule="auto"/>
        <w:ind w:left="360"/>
        <w:jc w:val="both"/>
        <w:rPr>
          <w:rFonts w:ascii="Arial" w:hAnsi="Arial" w:cs="Arial"/>
        </w:rPr>
      </w:pPr>
    </w:p>
    <w:p w:rsidR="00821F69" w:rsidRDefault="00821F69">
      <w:pPr>
        <w:pStyle w:val="Encabezado"/>
        <w:tabs>
          <w:tab w:val="left" w:pos="708"/>
        </w:tabs>
        <w:spacing w:line="276" w:lineRule="auto"/>
        <w:ind w:left="360"/>
        <w:jc w:val="both"/>
        <w:rPr>
          <w:rStyle w:val="Ninguno"/>
          <w:rFonts w:ascii="Arial" w:hAnsi="Arial" w:cs="Arial"/>
          <w:lang w:val="es-VE"/>
        </w:rPr>
      </w:pPr>
    </w:p>
    <w:p w:rsidR="00821F69" w:rsidRDefault="00821F69">
      <w:pPr>
        <w:ind w:left="360"/>
        <w:rPr>
          <w:rStyle w:val="Ninguno"/>
          <w:rFonts w:ascii="Arial" w:hAnsi="Arial" w:cs="Arial"/>
          <w:lang w:val="es-VE"/>
        </w:rPr>
      </w:pPr>
    </w:p>
    <w:p w:rsidR="00821F69" w:rsidRDefault="00821F69">
      <w:pPr>
        <w:pStyle w:val="Prrafodelista"/>
        <w:rPr>
          <w:rStyle w:val="Ninguno"/>
          <w:rFonts w:ascii="Arial" w:hAnsi="Arial" w:cs="Arial"/>
          <w:lang w:val="es-VE"/>
        </w:rPr>
      </w:pPr>
    </w:p>
    <w:sectPr w:rsidR="00821F69">
      <w:headerReference w:type="default" r:id="rId8"/>
      <w:pgSz w:w="12242" w:h="15842" w:code="1"/>
      <w:pgMar w:top="2127" w:right="1418" w:bottom="902" w:left="1418"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368" w:rsidRDefault="007A4368">
      <w:r>
        <w:separator/>
      </w:r>
    </w:p>
  </w:endnote>
  <w:endnote w:type="continuationSeparator" w:id="0">
    <w:p w:rsidR="007A4368" w:rsidRDefault="007A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368" w:rsidRDefault="007A4368">
      <w:r>
        <w:separator/>
      </w:r>
    </w:p>
  </w:footnote>
  <w:footnote w:type="continuationSeparator" w:id="0">
    <w:p w:rsidR="007A4368" w:rsidRDefault="007A43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F69" w:rsidRDefault="007A4368">
    <w:pPr>
      <w:ind w:left="-1200" w:right="4474"/>
      <w:jc w:val="both"/>
      <w:rPr>
        <w:rFonts w:ascii="Palace Script MT" w:hAnsi="Palace Script MT"/>
      </w:rPr>
    </w:pPr>
    <w:r>
      <w:rPr>
        <w:noProof/>
        <w:lang w:val="en-US"/>
      </w:rPr>
      <w:drawing>
        <wp:anchor distT="0" distB="0" distL="0" distR="0" simplePos="0" relativeHeight="2" behindDoc="1" locked="0" layoutInCell="1" allowOverlap="1">
          <wp:simplePos x="0" y="0"/>
          <wp:positionH relativeFrom="column">
            <wp:posOffset>-914400</wp:posOffset>
          </wp:positionH>
          <wp:positionV relativeFrom="paragraph">
            <wp:posOffset>-314325</wp:posOffset>
          </wp:positionV>
          <wp:extent cx="7800975" cy="10729595"/>
          <wp:effectExtent l="19050" t="0" r="9525" b="0"/>
          <wp:wrapNone/>
          <wp:docPr id="4097" name="Imagen 1" descr="Membrete_Alba T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cstate="print"/>
                  <a:srcRect/>
                  <a:stretch/>
                </pic:blipFill>
                <pic:spPr>
                  <a:xfrm>
                    <a:off x="0" y="0"/>
                    <a:ext cx="7800975" cy="10729595"/>
                  </a:xfrm>
                  <a:prstGeom prst="rect">
                    <a:avLst/>
                  </a:prstGeom>
                </pic:spPr>
              </pic:pic>
            </a:graphicData>
          </a:graphic>
        </wp:anchor>
      </w:drawing>
    </w:r>
    <w:r>
      <w:rPr>
        <w:rFonts w:ascii="Lucida Calligraphy" w:hAnsi="Lucida Calligraphy"/>
        <w:b/>
      </w:rPr>
      <w:tab/>
      <w:t xml:space="preserve"> </w:t>
    </w:r>
    <w:r>
      <w:rPr>
        <w:rFonts w:ascii="Lucida Calligraphy" w:hAnsi="Lucida Calligraphy"/>
        <w:b/>
      </w:rPr>
      <w:tab/>
    </w:r>
  </w:p>
  <w:p w:rsidR="00821F69" w:rsidRDefault="00821F69">
    <w:pPr>
      <w:ind w:left="-1200" w:right="4474"/>
      <w:jc w:val="both"/>
      <w:rPr>
        <w:rFonts w:ascii="Palace Script MT" w:hAnsi="Palace Script MT"/>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6148A16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9FB455E0"/>
    <w:lvl w:ilvl="0" w:tplc="200A0011">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00000002"/>
    <w:multiLevelType w:val="hybridMultilevel"/>
    <w:tmpl w:val="015EDDE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15:restartNumberingAfterBreak="0">
    <w:nsid w:val="00000003"/>
    <w:multiLevelType w:val="hybridMultilevel"/>
    <w:tmpl w:val="496AEF38"/>
    <w:lvl w:ilvl="0" w:tplc="200A0011">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00000004"/>
    <w:multiLevelType w:val="hybridMultilevel"/>
    <w:tmpl w:val="94AC0C0C"/>
    <w:lvl w:ilvl="0" w:tplc="9C3A0326">
      <w:start w:val="1"/>
      <w:numFmt w:val="decimal"/>
      <w:lvlText w:val="%1."/>
      <w:lvlJc w:val="left"/>
      <w:pPr>
        <w:ind w:left="720" w:hanging="360"/>
      </w:pPr>
      <w:rPr>
        <w:rFonts w:ascii="Arial" w:eastAsia="Calibri" w:hAnsi="Arial" w:cs="Arial"/>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69"/>
    <w:rsid w:val="004E45DB"/>
    <w:rsid w:val="007A4368"/>
    <w:rsid w:val="00821F6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8F5925-8C28-4E13-840B-F74606A7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VE" w:eastAsia="es-V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Ttulo1">
    <w:name w:val="heading 1"/>
    <w:basedOn w:val="Normal"/>
    <w:link w:val="Ttulo1Car"/>
    <w:uiPriority w:val="9"/>
    <w:qFormat/>
    <w:pPr>
      <w:spacing w:before="100" w:beforeAutospacing="1" w:after="100" w:afterAutospacing="1"/>
      <w:outlineLvl w:val="0"/>
    </w:pPr>
    <w:rPr>
      <w:b/>
      <w:bCs/>
      <w:kern w:val="36"/>
      <w:sz w:val="48"/>
      <w:szCs w:val="48"/>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customStyle="1" w:styleId="EncabezadoCar">
    <w:name w:val="Encabezado Car"/>
    <w:link w:val="Encabezado"/>
    <w:rPr>
      <w:sz w:val="24"/>
      <w:szCs w:val="24"/>
      <w:lang w:val="es-ES" w:eastAsia="es-ES"/>
    </w:rPr>
  </w:style>
  <w:style w:type="character" w:styleId="Hipervnculo">
    <w:name w:val="Hyperlink"/>
    <w:rPr>
      <w:color w:val="0000FF"/>
      <w:u w:val="single"/>
    </w:rPr>
  </w:style>
  <w:style w:type="character" w:customStyle="1" w:styleId="apple-converted-space">
    <w:name w:val="apple-converted-space"/>
    <w:basedOn w:val="Fuentedeprrafopredeter"/>
  </w:style>
  <w:style w:type="paragraph" w:styleId="Ttulo">
    <w:name w:val="Title"/>
    <w:basedOn w:val="Normal"/>
    <w:next w:val="Normal"/>
    <w:link w:val="TtuloCar"/>
    <w:uiPriority w:val="10"/>
    <w:qFormat/>
    <w:pPr>
      <w:pBdr>
        <w:bottom w:val="single" w:sz="8" w:space="4" w:color="4F81BD"/>
      </w:pBdr>
      <w:spacing w:after="300"/>
      <w:contextualSpacing/>
    </w:pPr>
    <w:rPr>
      <w:rFonts w:ascii="Cambria" w:hAnsi="Cambria"/>
      <w:color w:val="17365D"/>
      <w:spacing w:val="5"/>
      <w:kern w:val="28"/>
      <w:sz w:val="52"/>
      <w:szCs w:val="52"/>
      <w:lang w:val="en-GB"/>
    </w:rPr>
  </w:style>
  <w:style w:type="character" w:customStyle="1" w:styleId="TtuloCar">
    <w:name w:val="Título Car"/>
    <w:link w:val="Ttulo"/>
    <w:uiPriority w:val="10"/>
    <w:rPr>
      <w:rFonts w:ascii="Cambria" w:hAnsi="Cambria"/>
      <w:color w:val="17365D"/>
      <w:spacing w:val="5"/>
      <w:kern w:val="28"/>
      <w:sz w:val="52"/>
      <w:szCs w:val="52"/>
      <w:lang w:val="en-GB" w:eastAsia="en-US"/>
    </w:rPr>
  </w:style>
  <w:style w:type="paragraph" w:styleId="Prrafodelista">
    <w:name w:val="List Paragraph"/>
    <w:basedOn w:val="Normal"/>
    <w:link w:val="PrrafodelistaCar"/>
    <w:uiPriority w:val="34"/>
    <w:qFormat/>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pPr>
      <w:spacing w:before="100" w:beforeAutospacing="1" w:after="100" w:afterAutospacing="1"/>
    </w:pPr>
    <w:rPr>
      <w:lang w:eastAsia="es-VE"/>
    </w:rPr>
  </w:style>
  <w:style w:type="character" w:styleId="Textoennegrita">
    <w:name w:val="Strong"/>
    <w:uiPriority w:val="22"/>
    <w:qFormat/>
    <w:rPr>
      <w:b/>
      <w:bCs/>
    </w:rPr>
  </w:style>
  <w:style w:type="character" w:customStyle="1" w:styleId="Mencinsinresolver1">
    <w:name w:val="Mención sin resolver1"/>
    <w:uiPriority w:val="99"/>
    <w:rPr>
      <w:color w:val="605E5C"/>
      <w:shd w:val="clear" w:color="auto" w:fill="E1DFDD"/>
    </w:rP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Pr>
      <w:rFonts w:ascii="Segoe UI" w:hAnsi="Segoe UI" w:cs="Segoe UI"/>
      <w:sz w:val="18"/>
      <w:szCs w:val="18"/>
    </w:rPr>
  </w:style>
  <w:style w:type="character" w:customStyle="1" w:styleId="TextodegloboCar">
    <w:name w:val="Texto de globo Car"/>
    <w:link w:val="Textodeglobo"/>
    <w:rPr>
      <w:rFonts w:ascii="Segoe UI" w:hAnsi="Segoe UI" w:cs="Segoe UI"/>
      <w:sz w:val="18"/>
      <w:szCs w:val="18"/>
      <w:lang w:val="es-ES" w:eastAsia="es-ES"/>
    </w:rPr>
  </w:style>
  <w:style w:type="character" w:customStyle="1" w:styleId="PrrafodelistaCar">
    <w:name w:val="Párrafo de lista Car"/>
    <w:link w:val="Prrafodelista"/>
    <w:uiPriority w:val="34"/>
    <w:qFormat/>
    <w:rPr>
      <w:rFonts w:ascii="Calibri" w:eastAsia="Calibri" w:hAnsi="Calibri"/>
      <w:sz w:val="22"/>
      <w:szCs w:val="22"/>
      <w:lang w:val="es-ES" w:eastAsia="en-US"/>
    </w:rPr>
  </w:style>
  <w:style w:type="character" w:customStyle="1" w:styleId="Ninguno">
    <w:name w:val="Ninguno"/>
    <w:rPr>
      <w:lang w:val="es-ES_tradnl"/>
    </w:rPr>
  </w:style>
  <w:style w:type="character" w:customStyle="1" w:styleId="Ttulo1Car">
    <w:name w:val="Título 1 Car"/>
    <w:link w:val="Ttulo1"/>
    <w:uiPriority w:val="9"/>
    <w:rPr>
      <w:b/>
      <w:bCs/>
      <w:kern w:val="36"/>
      <w:sz w:val="48"/>
      <w:szCs w:val="48"/>
    </w:r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DE04A-CC83-4DEC-99A2-E5BF20F0E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4430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I</vt:lpstr>
    </vt:vector>
  </TitlesOfParts>
  <Company>MPPRE</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sara.lambertini</dc:creator>
  <cp:lastModifiedBy>dell</cp:lastModifiedBy>
  <cp:revision>2</cp:revision>
  <cp:lastPrinted>2022-10-25T13:35:00Z</cp:lastPrinted>
  <dcterms:created xsi:type="dcterms:W3CDTF">2025-06-07T16:58:00Z</dcterms:created>
  <dcterms:modified xsi:type="dcterms:W3CDTF">2025-06-07T16:58:00Z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f6f153a9edc14cb88dca148a57c70c38</vt:lpwstr>
  </property>
</Properties>
</file>